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Lenoir City Schools</w:t>
      </w:r>
    </w:p>
    <w:p>
      <w:pPr>
        <w:pStyle w:val="Heading1"/>
      </w:pPr>
      <w:r>
        <w:t>COVID-19 Supplies Distribution Summary for Lenoir City Intermediate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$30,265</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192</w:t>
            </w:r>
          </w:p>
        </w:tc>
        <w:tc>
          <w:tcPr>
            <w:tcW w:type="dxa" w:w="2160"/>
          </w:tcPr>
          <w:p>
            <w:r>
              <w:t>22,000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$288</w:t>
            </w:r>
          </w:p>
        </w:tc>
        <w:tc>
          <w:tcPr>
            <w:tcW w:type="dxa" w:w="2160"/>
          </w:tcPr>
          <w:p>
            <w:r>
              <w:t>$7,040</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480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$4,690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120</w:t>
            </w:r>
          </w:p>
        </w:tc>
        <w:tc>
          <w:tcPr>
            <w:tcW w:type="dxa" w:w="2160"/>
          </w:tcPr>
          <w:p>
            <w:r>
              <w:t>1,284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$2,160</w:t>
            </w:r>
          </w:p>
        </w:tc>
        <w:tc>
          <w:tcPr>
            <w:tcW w:type="dxa" w:w="2160"/>
          </w:tcPr>
          <w:p>
            <w:r>
              <w:t>$11,980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