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Bradley County Schools</w:t>
      </w:r>
    </w:p>
    <w:p>
      <w:pPr>
        <w:pStyle w:val="Heading1"/>
      </w:pPr>
      <w:r>
        <w:t>COVID-19 Supplies Distribution Summary for Waterville Community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$58,428</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920</w:t>
            </w:r>
          </w:p>
        </w:tc>
        <w:tc>
          <w:tcPr>
            <w:tcW w:type="dxa" w:w="2160"/>
          </w:tcPr>
          <w:p>
            <w:r>
              <w:t>2,100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$1,380</w:t>
            </w:r>
          </w:p>
        </w:tc>
        <w:tc>
          <w:tcPr>
            <w:tcW w:type="dxa" w:w="2160"/>
          </w:tcPr>
          <w:p>
            <w:r>
              <w:t>$672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112</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$1,094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144</w:t>
            </w:r>
          </w:p>
        </w:tc>
        <w:tc>
          <w:tcPr>
            <w:tcW w:type="dxa" w:w="2160"/>
          </w:tcPr>
          <w:p>
            <w:r>
              <w:t>5,384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$2,592</w:t>
            </w:r>
          </w:p>
        </w:tc>
        <w:tc>
          <w:tcPr>
            <w:tcW w:type="dxa" w:w="2160"/>
          </w:tcPr>
          <w:p>
            <w:r>
              <w:t>$50,233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