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Roane County Schools</w:t>
      </w:r>
    </w:p>
    <w:p>
      <w:pPr>
        <w:pStyle w:val="Heading1"/>
      </w:pPr>
      <w:r>
        <w:t>COVID-19 Supplies Distribution Summary for Bowers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$40,456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2,494</w:t>
            </w:r>
          </w:p>
        </w:tc>
        <w:tc>
          <w:tcPr>
            <w:tcW w:type="dxa" w:w="2160"/>
          </w:tcPr>
          <w:p>
            <w:r>
              <w:t>29,800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$3,741</w:t>
            </w:r>
          </w:p>
        </w:tc>
        <w:tc>
          <w:tcPr>
            <w:tcW w:type="dxa" w:w="2160"/>
          </w:tcPr>
          <w:p>
            <w:r>
              <w:t>$9,536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16</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$156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132</w:t>
            </w:r>
          </w:p>
        </w:tc>
        <w:tc>
          <w:tcPr>
            <w:tcW w:type="dxa" w:w="2160"/>
          </w:tcPr>
          <w:p>
            <w:r>
              <w:t>2,376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$2,376</w:t>
            </w:r>
          </w:p>
        </w:tc>
        <w:tc>
          <w:tcPr>
            <w:tcW w:type="dxa" w:w="2160"/>
          </w:tcPr>
          <w:p>
            <w:r>
              <w:t>$22,168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