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Blount County Schools</w:t>
      </w:r>
    </w:p>
    <w:p>
      <w:pPr>
        <w:pStyle w:val="Heading1"/>
      </w:pPr>
      <w:r>
        <w:t>COVID-19 Supplies Distribution Summary for Samuel Everett School of Innovation</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$5,803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w:t>
            </w:r>
          </w:p>
        </w:tc>
        <w:tc>
          <w:tcPr>
            <w:tcW w:type="dxa" w:w="2160"/>
          </w:tcPr>
          <w:p>
            <w:r>
              <w:t>2,000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w:t>
            </w:r>
          </w:p>
        </w:tc>
        <w:tc>
          <w:tcPr>
            <w:tcW w:type="dxa" w:w="2160"/>
          </w:tcPr>
          <w:p>
            <w:r>
              <w:t>$640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$49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76</w:t>
            </w:r>
          </w:p>
        </w:tc>
        <w:tc>
          <w:tcPr>
            <w:tcW w:type="dxa" w:w="2160"/>
          </w:tcPr>
          <w:p>
            <w:r>
              <w:t>16</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$681</w:t>
            </w:r>
          </w:p>
        </w:tc>
        <w:tc>
          <w:tcPr>
            <w:tcW w:type="dxa" w:w="2160"/>
          </w:tcPr>
          <w:p>
            <w:r>
              <w:t>$288</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