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Morgan County Schools</w:t>
      </w:r>
    </w:p>
    <w:p>
      <w:pPr>
        <w:pStyle w:val="Heading1"/>
      </w:pPr>
      <w:r>
        <w:t>COVID-19 Supplies Distribution Summary for Morgan County Career and Technical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$15,857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990</w:t>
            </w:r>
          </w:p>
        </w:tc>
        <w:tc>
          <w:tcPr>
            <w:tcW w:type="dxa" w:w="2160"/>
          </w:tcPr>
          <w:p>
            <w:r>
              <w:t>8,600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$1,485</w:t>
            </w:r>
          </w:p>
        </w:tc>
        <w:tc>
          <w:tcPr>
            <w:tcW w:type="dxa" w:w="2160"/>
          </w:tcPr>
          <w:p>
            <w:r>
              <w:t>$2,752</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192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$1,876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94</w:t>
            </w:r>
          </w:p>
        </w:tc>
        <w:tc>
          <w:tcPr>
            <w:tcW w:type="dxa" w:w="2160"/>
          </w:tcPr>
          <w:p>
            <w:r>
              <w:t>56</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$842</w:t>
            </w:r>
          </w:p>
        </w:tc>
        <w:tc>
          <w:tcPr>
            <w:tcW w:type="dxa" w:w="2160"/>
          </w:tcPr>
          <w:p>
            <w:r>
              <w:t>$1,008</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