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 County Schools</w:t>
      </w:r>
    </w:p>
    <w:p>
      <w:pPr>
        <w:pStyle w:val="Heading1"/>
      </w:pPr>
      <w:r>
        <w:t>COVID-19 Supplies Distribution Summary for Gainesboro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$12,426</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606</w:t>
            </w:r>
          </w:p>
        </w:tc>
        <w:tc>
          <w:tcPr>
            <w:tcW w:type="dxa" w:w="2160"/>
          </w:tcPr>
          <w:p>
            <w:r>
              <w:t>11,000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$909</w:t>
            </w:r>
          </w:p>
        </w:tc>
        <w:tc>
          <w:tcPr>
            <w:tcW w:type="dxa" w:w="2160"/>
          </w:tcPr>
          <w:p>
            <w:r>
              <w:t>$3,520</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33</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$322</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100</w:t>
            </w:r>
          </w:p>
        </w:tc>
        <w:tc>
          <w:tcPr>
            <w:tcW w:type="dxa" w:w="2160"/>
          </w:tcPr>
          <w:p>
            <w:r>
              <w:t>576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$1,800</w:t>
            </w:r>
          </w:p>
        </w:tc>
        <w:tc>
          <w:tcPr>
            <w:tcW w:type="dxa" w:w="2160"/>
          </w:tcPr>
          <w:p>
            <w:r>
              <w:t>$5,374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