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Millington Municipal School District</w:t>
      </w:r>
    </w:p>
    <w:p>
      <w:pPr>
        <w:pStyle w:val="Heading1"/>
      </w:pPr>
      <w:r>
        <w:t>COVID-19 Supplies Distribution Summary for E.A. Harrold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$14,590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540</w:t>
            </w:r>
          </w:p>
        </w:tc>
        <w:tc>
          <w:tcPr>
            <w:tcW w:type="dxa" w:w="2160"/>
          </w:tcPr>
          <w:p>
            <w:r>
              <w:t>13,400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$810</w:t>
            </w:r>
          </w:p>
        </w:tc>
        <w:tc>
          <w:tcPr>
            <w:tcW w:type="dxa" w:w="2160"/>
          </w:tcPr>
          <w:p>
            <w:r>
              <w:t>$4,288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$137</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40</w:t>
            </w:r>
          </w:p>
        </w:tc>
        <w:tc>
          <w:tcPr>
            <w:tcW w:type="dxa" w:w="2160"/>
          </w:tcPr>
          <w:p>
            <w:r>
              <w:t>708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$720</w:t>
            </w:r>
          </w:p>
        </w:tc>
        <w:tc>
          <w:tcPr>
            <w:tcW w:type="dxa" w:w="2160"/>
          </w:tcPr>
          <w:p>
            <w:r>
              <w:t>$6,606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