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Cocke County School System</w:t>
      </w:r>
    </w:p>
    <w:p>
      <w:pPr>
        <w:pStyle w:val="Heading1"/>
      </w:pPr>
      <w:r>
        <w:t>COVID-19 Supplies Distribution Summary for Three Rivers Learning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$10,313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262</w:t>
            </w:r>
          </w:p>
        </w:tc>
        <w:tc>
          <w:tcPr>
            <w:tcW w:type="dxa" w:w="2160"/>
          </w:tcPr>
          <w:p>
            <w:r>
              <w:t>2,350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$393</w:t>
            </w:r>
          </w:p>
        </w:tc>
        <w:tc>
          <w:tcPr>
            <w:tcW w:type="dxa" w:w="2160"/>
          </w:tcPr>
          <w:p>
            <w:r>
              <w:t>$752</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62</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$606</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32</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$576</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