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Bristol City Schools</w:t>
      </w:r>
    </w:p>
    <w:p>
      <w:pPr>
        <w:pStyle w:val="Heading1"/>
      </w:pPr>
      <w:r>
        <w:t>COVID-19 Supplies Distribution Summary for Vance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$12,325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410</w:t>
            </w:r>
          </w:p>
        </w:tc>
        <w:tc>
          <w:tcPr>
            <w:tcW w:type="dxa" w:w="2160"/>
          </w:tcPr>
          <w:p>
            <w:r>
              <w:t>1,880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$615</w:t>
            </w:r>
          </w:p>
        </w:tc>
        <w:tc>
          <w:tcPr>
            <w:tcW w:type="dxa" w:w="2160"/>
          </w:tcPr>
          <w:p>
            <w:r>
              <w:t>$602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$1,124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94</w:t>
            </w:r>
          </w:p>
        </w:tc>
        <w:tc>
          <w:tcPr>
            <w:tcW w:type="dxa" w:w="2160"/>
          </w:tcPr>
          <w:p>
            <w:r>
              <w:t>104</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$842</w:t>
            </w:r>
          </w:p>
        </w:tc>
        <w:tc>
          <w:tcPr>
            <w:tcW w:type="dxa" w:w="2160"/>
          </w:tcPr>
          <w:p>
            <w:r>
              <w:t>$1,872</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