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City Schools</w:t>
      </w:r>
    </w:p>
    <w:p>
      <w:pPr>
        <w:pStyle w:val="Heading1"/>
      </w:pPr>
      <w:r>
        <w:t>COVID-19 Supplies Distribution Summary for Union City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$87,576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16,050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$5,136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30</w:t>
            </w:r>
          </w:p>
        </w:tc>
        <w:tc>
          <w:tcPr>
            <w:tcW w:type="dxa" w:w="2160"/>
          </w:tcPr>
          <w:p>
            <w:r>
              <w:t>756</w:t>
            </w:r>
          </w:p>
        </w:tc>
        <w:tc>
          <w:tcPr>
            <w:tcW w:type="dxa" w:w="2160"/>
          </w:tcPr>
          <w:p>
            <w:r>
              <w:t>1,200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$293</w:t>
            </w:r>
          </w:p>
        </w:tc>
        <w:tc>
          <w:tcPr>
            <w:tcW w:type="dxa" w:w="2160"/>
          </w:tcPr>
          <w:p>
            <w:r>
              <w:t>$529</w:t>
            </w:r>
          </w:p>
        </w:tc>
        <w:tc>
          <w:tcPr>
            <w:tcW w:type="dxa" w:w="2160"/>
          </w:tcPr>
          <w:p>
            <w:r>
              <w:t>$3,996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8,088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$75,461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