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C95" w:rsidRDefault="004B7C95" w:rsidP="00F931EF">
      <w:pPr>
        <w:jc w:val="both"/>
      </w:pPr>
    </w:p>
    <w:p w:rsidR="00F239AA" w:rsidRDefault="001B0104" w:rsidP="004B7C95">
      <w:pPr>
        <w:jc w:val="center"/>
      </w:pPr>
      <w:r>
        <w:fldChar w:fldCharType="begin"/>
      </w:r>
      <w:r>
        <w:instrText xml:space="preserve"> DATE \@ "MMMM d, yyyy" </w:instrText>
      </w:r>
      <w:r>
        <w:fldChar w:fldCharType="separate"/>
      </w:r>
      <w:r w:rsidR="0043390E">
        <w:rPr>
          <w:noProof/>
        </w:rPr>
        <w:t>October 6, 2016</w:t>
      </w:r>
      <w:r>
        <w:fldChar w:fldCharType="end"/>
      </w:r>
    </w:p>
    <w:p w:rsidR="001B0104" w:rsidRDefault="001B0104" w:rsidP="00F931EF">
      <w:pPr>
        <w:tabs>
          <w:tab w:val="left" w:pos="720"/>
          <w:tab w:val="left" w:pos="1440"/>
          <w:tab w:val="left" w:pos="2160"/>
          <w:tab w:val="left" w:pos="2880"/>
          <w:tab w:val="left" w:pos="3600"/>
          <w:tab w:val="left" w:pos="4320"/>
        </w:tabs>
        <w:jc w:val="both"/>
        <w:rPr>
          <w:szCs w:val="22"/>
        </w:rPr>
      </w:pPr>
    </w:p>
    <w:p w:rsidR="00F342EE" w:rsidRPr="009801BB" w:rsidRDefault="00F342EE" w:rsidP="009801BB">
      <w:pPr>
        <w:pStyle w:val="NoSpacing"/>
      </w:pPr>
      <w:bookmarkStart w:id="0" w:name="_GoBack"/>
      <w:bookmarkEnd w:id="0"/>
      <w:r w:rsidRPr="009801BB">
        <w:t>MEMORANDUM</w:t>
      </w:r>
    </w:p>
    <w:p w:rsidR="00F342EE" w:rsidRPr="009801BB" w:rsidRDefault="00F342EE" w:rsidP="009801BB">
      <w:pPr>
        <w:pStyle w:val="NoSpacing"/>
      </w:pPr>
    </w:p>
    <w:p w:rsidR="00F342EE" w:rsidRPr="009801BB" w:rsidRDefault="00F342EE" w:rsidP="009801BB">
      <w:pPr>
        <w:pStyle w:val="NoSpacing"/>
      </w:pPr>
      <w:r w:rsidRPr="009801BB">
        <w:t>To:</w:t>
      </w:r>
      <w:r w:rsidRPr="009801BB">
        <w:tab/>
      </w:r>
      <w:r w:rsidRPr="009801BB">
        <w:tab/>
        <w:t>CPA Firms</w:t>
      </w:r>
      <w:r w:rsidR="001802BA">
        <w:t xml:space="preserve"> Who Audit Local Government</w:t>
      </w:r>
      <w:r w:rsidR="00143068">
        <w:t>s With</w:t>
      </w:r>
      <w:r w:rsidR="001802BA">
        <w:t xml:space="preserve"> Pension Plans</w:t>
      </w:r>
      <w:r w:rsidRPr="009801BB">
        <w:fldChar w:fldCharType="begin"/>
      </w:r>
      <w:r w:rsidRPr="009801BB">
        <w:instrText xml:space="preserve">  </w:instrText>
      </w:r>
      <w:r w:rsidRPr="009801BB">
        <w:fldChar w:fldCharType="end"/>
      </w:r>
    </w:p>
    <w:p w:rsidR="00F342EE" w:rsidRPr="009801BB" w:rsidRDefault="00F342EE" w:rsidP="009801BB">
      <w:pPr>
        <w:pStyle w:val="NoSpacing"/>
      </w:pPr>
      <w:r w:rsidRPr="009801BB">
        <w:t>From:</w:t>
      </w:r>
      <w:r w:rsidRPr="009801BB">
        <w:tab/>
      </w:r>
      <w:r w:rsidRPr="009801BB">
        <w:tab/>
        <w:t>Jerry E. Durham, CPA, CGFM, CFE</w:t>
      </w:r>
      <w:r w:rsidR="00ED1C63" w:rsidRPr="009801BB">
        <w:t xml:space="preserve">    </w:t>
      </w:r>
      <w:r w:rsidR="009801BB" w:rsidRPr="009801BB">
        <w:rPr>
          <w:noProof/>
        </w:rPr>
        <w:drawing>
          <wp:inline distT="0" distB="0" distL="0" distR="0" wp14:anchorId="4311EF10" wp14:editId="220D21CA">
            <wp:extent cx="1060169" cy="303849"/>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494" cy="333176"/>
                    </a:xfrm>
                    <a:prstGeom prst="rect">
                      <a:avLst/>
                    </a:prstGeom>
                  </pic:spPr>
                </pic:pic>
              </a:graphicData>
            </a:graphic>
          </wp:inline>
        </w:drawing>
      </w:r>
    </w:p>
    <w:p w:rsidR="00F342EE" w:rsidRPr="009801BB" w:rsidRDefault="00F342EE" w:rsidP="009801BB">
      <w:pPr>
        <w:pStyle w:val="NoSpacing"/>
      </w:pPr>
      <w:r w:rsidRPr="009801BB">
        <w:tab/>
      </w:r>
      <w:r w:rsidRPr="009801BB">
        <w:tab/>
        <w:t>Assistant Director</w:t>
      </w:r>
    </w:p>
    <w:p w:rsidR="00F342EE" w:rsidRPr="009801BB" w:rsidRDefault="00F342EE" w:rsidP="009801BB">
      <w:pPr>
        <w:pStyle w:val="NoSpacing"/>
      </w:pPr>
      <w:r w:rsidRPr="009801BB">
        <w:tab/>
      </w:r>
      <w:r w:rsidRPr="009801BB">
        <w:tab/>
        <w:t>Division of Local Government Audit</w:t>
      </w:r>
    </w:p>
    <w:p w:rsidR="00F342EE" w:rsidRPr="009801BB" w:rsidRDefault="00F342EE" w:rsidP="009801BB">
      <w:pPr>
        <w:pStyle w:val="NoSpacing"/>
      </w:pPr>
    </w:p>
    <w:p w:rsidR="00F342EE" w:rsidRPr="009801BB" w:rsidRDefault="00F342EE" w:rsidP="009801BB">
      <w:pPr>
        <w:pStyle w:val="NoSpacing"/>
      </w:pPr>
      <w:r w:rsidRPr="009801BB">
        <w:t>Subject:</w:t>
      </w:r>
      <w:r w:rsidRPr="009801BB">
        <w:tab/>
        <w:t>Government Fiduciary Responsibilities</w:t>
      </w:r>
    </w:p>
    <w:p w:rsidR="00F342EE" w:rsidRDefault="00F342EE" w:rsidP="00F931EF">
      <w:pPr>
        <w:tabs>
          <w:tab w:val="left" w:pos="720"/>
          <w:tab w:val="left" w:pos="1440"/>
          <w:tab w:val="left" w:pos="2160"/>
          <w:tab w:val="left" w:pos="2880"/>
          <w:tab w:val="left" w:pos="3600"/>
          <w:tab w:val="left" w:pos="4320"/>
        </w:tabs>
        <w:ind w:left="1440" w:hanging="1440"/>
        <w:jc w:val="both"/>
        <w:rPr>
          <w:szCs w:val="22"/>
        </w:rPr>
      </w:pPr>
    </w:p>
    <w:p w:rsidR="00DE49E6" w:rsidRPr="00394033" w:rsidRDefault="00DE49E6" w:rsidP="00F931EF">
      <w:pPr>
        <w:jc w:val="both"/>
      </w:pPr>
      <w:r w:rsidRPr="00394033">
        <w:t>CPA Colleagues,</w:t>
      </w:r>
    </w:p>
    <w:p w:rsidR="00ED1C63" w:rsidRDefault="00ED1C63" w:rsidP="00F931EF">
      <w:pPr>
        <w:jc w:val="both"/>
      </w:pPr>
    </w:p>
    <w:p w:rsidR="00DE49E6" w:rsidRDefault="00DE49E6" w:rsidP="00F931EF">
      <w:pPr>
        <w:jc w:val="both"/>
      </w:pPr>
      <w:r w:rsidRPr="00394033">
        <w:t>I have received several requests to clarify the Division of Local Government Audit’s</w:t>
      </w:r>
      <w:r>
        <w:t xml:space="preserve"> (Division)</w:t>
      </w:r>
      <w:r w:rsidRPr="00394033">
        <w:t xml:space="preserve"> position on fiduciary responsibility.  GASB issued an Exposure Draft on December 8, 2015 entitled </w:t>
      </w:r>
      <w:r w:rsidRPr="00394033">
        <w:rPr>
          <w:i/>
        </w:rPr>
        <w:t>Fiduciary Activities</w:t>
      </w:r>
      <w:r w:rsidRPr="00394033">
        <w:t xml:space="preserve">.  This document </w:t>
      </w:r>
      <w:r w:rsidR="001C5159">
        <w:t>along with GASB</w:t>
      </w:r>
      <w:r w:rsidR="0095208C">
        <w:t>S</w:t>
      </w:r>
      <w:r w:rsidR="001C5159">
        <w:t xml:space="preserve"> 68, </w:t>
      </w:r>
      <w:r w:rsidRPr="00394033">
        <w:t xml:space="preserve">has opened up an issue that was first raised in </w:t>
      </w:r>
      <w:r w:rsidR="00AC1496">
        <w:t>NCGA</w:t>
      </w:r>
      <w:r w:rsidR="002D4B9C">
        <w:t>S</w:t>
      </w:r>
      <w:r w:rsidR="00AC1496">
        <w:t xml:space="preserve"> 1, </w:t>
      </w:r>
      <w:r w:rsidR="00873BE1">
        <w:t xml:space="preserve">then </w:t>
      </w:r>
      <w:r w:rsidRPr="00394033">
        <w:t>GASB</w:t>
      </w:r>
      <w:r w:rsidR="002D4B9C">
        <w:t>S</w:t>
      </w:r>
      <w:r w:rsidRPr="00394033">
        <w:t xml:space="preserve"> 14</w:t>
      </w:r>
      <w:r w:rsidR="00AC1496">
        <w:t xml:space="preserve">, </w:t>
      </w:r>
      <w:r w:rsidR="00687FE9">
        <w:t xml:space="preserve">GASB 32, </w:t>
      </w:r>
      <w:r w:rsidR="00AC1496">
        <w:t xml:space="preserve">and </w:t>
      </w:r>
      <w:r w:rsidRPr="00394033">
        <w:t>again in GASB</w:t>
      </w:r>
      <w:r w:rsidR="002D4B9C">
        <w:t>S</w:t>
      </w:r>
      <w:r w:rsidRPr="00394033">
        <w:t xml:space="preserve"> 3</w:t>
      </w:r>
      <w:r w:rsidR="00687FE9">
        <w:t>4</w:t>
      </w:r>
      <w:r w:rsidRPr="00394033">
        <w:t>.</w:t>
      </w:r>
      <w:r>
        <w:t xml:space="preserve">  </w:t>
      </w:r>
    </w:p>
    <w:p w:rsidR="00BC48F2" w:rsidRDefault="00BC48F2" w:rsidP="00F931EF">
      <w:pPr>
        <w:jc w:val="both"/>
      </w:pPr>
    </w:p>
    <w:p w:rsidR="00DE49E6" w:rsidRDefault="00DE49E6" w:rsidP="00F931EF">
      <w:pPr>
        <w:jc w:val="both"/>
        <w:rPr>
          <w:rFonts w:cs="TT222t00"/>
        </w:rPr>
      </w:pPr>
      <w:r w:rsidRPr="00394033">
        <w:t xml:space="preserve">I </w:t>
      </w:r>
      <w:r>
        <w:t xml:space="preserve">first </w:t>
      </w:r>
      <w:r w:rsidRPr="00394033">
        <w:t xml:space="preserve">raised this issue </w:t>
      </w:r>
      <w:r>
        <w:t xml:space="preserve">on behalf of the Division </w:t>
      </w:r>
      <w:r w:rsidRPr="00394033">
        <w:t>in the Pension Memo that was sent out on December 1</w:t>
      </w:r>
      <w:r>
        <w:t>6</w:t>
      </w:r>
      <w:r w:rsidRPr="00394033">
        <w:t>, 201</w:t>
      </w:r>
      <w:r w:rsidR="00DA6B1E">
        <w:t>4</w:t>
      </w:r>
      <w:r w:rsidR="003070C6">
        <w:t xml:space="preserve"> referring specifically to Pension Plans.</w:t>
      </w:r>
      <w:r w:rsidRPr="00394033">
        <w:t xml:space="preserve">  My comment</w:t>
      </w:r>
      <w:r w:rsidR="00BC48F2">
        <w:t>,</w:t>
      </w:r>
      <w:r w:rsidRPr="00394033">
        <w:t xml:space="preserve"> referring to the Exposure Draft at that time was, “</w:t>
      </w:r>
      <w:r w:rsidRPr="00394033">
        <w:rPr>
          <w:rFonts w:cs="TT222t00"/>
        </w:rPr>
        <w:t>While this document is not GAAP yet, it does give CPAs more guidance than is currently available anywhere else.”</w:t>
      </w:r>
    </w:p>
    <w:p w:rsidR="00DE49E6" w:rsidRDefault="00DE49E6" w:rsidP="00F931EF">
      <w:pPr>
        <w:jc w:val="both"/>
        <w:rPr>
          <w:rFonts w:cs="TT222t00"/>
        </w:rPr>
      </w:pPr>
    </w:p>
    <w:p w:rsidR="00803CB8" w:rsidRDefault="00DE49E6" w:rsidP="00F931EF">
      <w:pPr>
        <w:jc w:val="both"/>
        <w:rPr>
          <w:rFonts w:cs="TT222t00"/>
        </w:rPr>
      </w:pPr>
      <w:r>
        <w:rPr>
          <w:rFonts w:cs="TT222t00"/>
        </w:rPr>
        <w:t xml:space="preserve">According to the </w:t>
      </w:r>
      <w:r w:rsidRPr="002D4B9C">
        <w:rPr>
          <w:rFonts w:cs="TT222t00"/>
          <w:i/>
        </w:rPr>
        <w:t>Fiduciary Activities</w:t>
      </w:r>
      <w:r>
        <w:rPr>
          <w:rFonts w:cs="TT222t00"/>
        </w:rPr>
        <w:t xml:space="preserve"> Exposure Draft, “…existing standards do not provide guidance regarding characteristics that should be considered in deciding whether a government has a fiduciary responsibility” and “…which fiduciary activities should be reported by governments has been interpreted differently, resulting in a lack of comparability between governments.”  </w:t>
      </w:r>
    </w:p>
    <w:p w:rsidR="00803CB8" w:rsidRDefault="00803CB8" w:rsidP="00F931EF">
      <w:pPr>
        <w:jc w:val="both"/>
        <w:rPr>
          <w:rFonts w:cs="TT222t00"/>
        </w:rPr>
      </w:pPr>
    </w:p>
    <w:p w:rsidR="00DE49E6" w:rsidRDefault="004A59C9" w:rsidP="00F931EF">
      <w:pPr>
        <w:jc w:val="both"/>
        <w:rPr>
          <w:rFonts w:cs="TT222t00"/>
        </w:rPr>
      </w:pPr>
      <w:r>
        <w:rPr>
          <w:rFonts w:cs="TT222t00"/>
        </w:rPr>
        <w:t xml:space="preserve">Based on my discussions with GASB, </w:t>
      </w:r>
      <w:r w:rsidR="00DE49E6">
        <w:rPr>
          <w:rFonts w:cs="TT222t00"/>
        </w:rPr>
        <w:t>the Exposure Draft merely interprets what we should have been doing all along.</w:t>
      </w:r>
    </w:p>
    <w:p w:rsidR="00687996" w:rsidRDefault="00687996" w:rsidP="00687996">
      <w:pPr>
        <w:tabs>
          <w:tab w:val="left" w:pos="720"/>
          <w:tab w:val="left" w:pos="1440"/>
          <w:tab w:val="left" w:pos="2160"/>
          <w:tab w:val="left" w:pos="2880"/>
          <w:tab w:val="left" w:pos="3600"/>
          <w:tab w:val="left" w:pos="4320"/>
        </w:tabs>
        <w:jc w:val="center"/>
        <w:rPr>
          <w:b/>
          <w:szCs w:val="22"/>
          <w:u w:val="single"/>
        </w:rPr>
      </w:pPr>
      <w:r>
        <w:rPr>
          <w:b/>
          <w:szCs w:val="22"/>
          <w:u w:val="single"/>
        </w:rPr>
        <w:t>____________________________</w:t>
      </w:r>
    </w:p>
    <w:p w:rsidR="00DE49E6" w:rsidRDefault="00DE49E6" w:rsidP="00F931EF">
      <w:pPr>
        <w:jc w:val="both"/>
        <w:rPr>
          <w:rFonts w:cs="TT222t00"/>
        </w:rPr>
      </w:pPr>
    </w:p>
    <w:p w:rsidR="00687996" w:rsidRDefault="00687996" w:rsidP="00F931EF">
      <w:pPr>
        <w:jc w:val="both"/>
        <w:rPr>
          <w:rFonts w:cs="TT222t00"/>
        </w:rPr>
      </w:pPr>
    </w:p>
    <w:p w:rsidR="00160783" w:rsidRDefault="00160783" w:rsidP="00F931EF">
      <w:pPr>
        <w:jc w:val="both"/>
        <w:rPr>
          <w:rFonts w:cs="TT222t00"/>
        </w:rPr>
      </w:pPr>
    </w:p>
    <w:p w:rsidR="00160783" w:rsidRDefault="00160783" w:rsidP="00F931EF">
      <w:pPr>
        <w:jc w:val="both"/>
        <w:rPr>
          <w:rFonts w:cs="TT222t00"/>
        </w:rPr>
      </w:pPr>
    </w:p>
    <w:p w:rsidR="00160783" w:rsidRDefault="00160783" w:rsidP="00F931EF">
      <w:pPr>
        <w:jc w:val="both"/>
        <w:rPr>
          <w:rFonts w:cs="TT222t00"/>
        </w:rPr>
      </w:pPr>
    </w:p>
    <w:p w:rsidR="00160783" w:rsidRDefault="00160783" w:rsidP="00F931EF">
      <w:pPr>
        <w:jc w:val="both"/>
        <w:rPr>
          <w:rFonts w:cs="TT222t00"/>
        </w:rPr>
      </w:pPr>
    </w:p>
    <w:p w:rsidR="00160783" w:rsidRDefault="00160783" w:rsidP="00F931EF">
      <w:pPr>
        <w:jc w:val="both"/>
        <w:rPr>
          <w:rFonts w:cs="TT222t00"/>
        </w:rPr>
      </w:pPr>
    </w:p>
    <w:p w:rsidR="0008410F" w:rsidRDefault="0008410F" w:rsidP="00F931EF">
      <w:pPr>
        <w:jc w:val="both"/>
        <w:rPr>
          <w:rFonts w:cs="TT222t00"/>
          <w:b/>
          <w:u w:val="single"/>
        </w:rPr>
      </w:pPr>
    </w:p>
    <w:p w:rsidR="0008410F" w:rsidRDefault="0008410F" w:rsidP="00F931EF">
      <w:pPr>
        <w:jc w:val="both"/>
        <w:rPr>
          <w:rFonts w:cs="TT222t00"/>
          <w:b/>
          <w:u w:val="single"/>
        </w:rPr>
      </w:pPr>
    </w:p>
    <w:p w:rsidR="00E35F8B" w:rsidRPr="00341BEF" w:rsidRDefault="00E35F8B" w:rsidP="00341BEF">
      <w:pPr>
        <w:jc w:val="center"/>
        <w:rPr>
          <w:rFonts w:cs="TT222t00"/>
          <w:b/>
          <w:sz w:val="28"/>
          <w:u w:val="single"/>
        </w:rPr>
      </w:pPr>
      <w:r w:rsidRPr="00341BEF">
        <w:rPr>
          <w:rFonts w:cs="TT222t00"/>
          <w:b/>
          <w:sz w:val="28"/>
          <w:u w:val="single"/>
        </w:rPr>
        <w:t>457 Plans and Other Deferred Compensation Plans</w:t>
      </w:r>
    </w:p>
    <w:p w:rsidR="005A688F" w:rsidRDefault="005A688F" w:rsidP="00F931EF">
      <w:pPr>
        <w:jc w:val="both"/>
        <w:rPr>
          <w:rFonts w:cs="TT222t00"/>
        </w:rPr>
      </w:pPr>
    </w:p>
    <w:p w:rsidR="00DE49E6" w:rsidRDefault="00DE49E6" w:rsidP="00F931EF">
      <w:pPr>
        <w:jc w:val="both"/>
        <w:rPr>
          <w:rFonts w:cs="TT222t00"/>
        </w:rPr>
      </w:pPr>
      <w:r>
        <w:rPr>
          <w:rFonts w:cs="TT222t00"/>
        </w:rPr>
        <w:t xml:space="preserve">The question is, when </w:t>
      </w:r>
      <w:r w:rsidR="00143068">
        <w:rPr>
          <w:rFonts w:cs="TT222t00"/>
        </w:rPr>
        <w:t>should</w:t>
      </w:r>
      <w:r>
        <w:rPr>
          <w:rFonts w:cs="TT222t00"/>
        </w:rPr>
        <w:t xml:space="preserve"> fiduciary </w:t>
      </w:r>
      <w:r w:rsidR="005A688F">
        <w:rPr>
          <w:rFonts w:cs="TT222t00"/>
        </w:rPr>
        <w:t>activity</w:t>
      </w:r>
      <w:r>
        <w:rPr>
          <w:rFonts w:cs="TT222t00"/>
        </w:rPr>
        <w:t xml:space="preserve"> </w:t>
      </w:r>
      <w:r w:rsidR="00143068">
        <w:rPr>
          <w:rFonts w:cs="TT222t00"/>
        </w:rPr>
        <w:t xml:space="preserve">be reported </w:t>
      </w:r>
      <w:r>
        <w:rPr>
          <w:rFonts w:cs="TT222t00"/>
        </w:rPr>
        <w:t xml:space="preserve">as part of </w:t>
      </w:r>
      <w:r w:rsidR="00143068">
        <w:rPr>
          <w:rFonts w:cs="TT222t00"/>
        </w:rPr>
        <w:t>a</w:t>
      </w:r>
      <w:r>
        <w:rPr>
          <w:rFonts w:cs="TT222t00"/>
        </w:rPr>
        <w:t xml:space="preserve"> government’s financial statements?   For example, </w:t>
      </w:r>
      <w:r w:rsidR="005A688F">
        <w:rPr>
          <w:rFonts w:cs="TT222t00"/>
        </w:rPr>
        <w:t xml:space="preserve">based on </w:t>
      </w:r>
      <w:r>
        <w:rPr>
          <w:rFonts w:cs="TT222t00"/>
        </w:rPr>
        <w:t>GASB</w:t>
      </w:r>
      <w:r w:rsidR="00143068">
        <w:rPr>
          <w:rFonts w:cs="TT222t00"/>
        </w:rPr>
        <w:t>S</w:t>
      </w:r>
      <w:r>
        <w:rPr>
          <w:rFonts w:cs="TT222t00"/>
        </w:rPr>
        <w:t xml:space="preserve"> 32 guidance, most 457 Plan assets </w:t>
      </w:r>
      <w:r w:rsidR="00143068">
        <w:rPr>
          <w:rFonts w:cs="TT222t00"/>
        </w:rPr>
        <w:t xml:space="preserve">have not been reported </w:t>
      </w:r>
      <w:r>
        <w:rPr>
          <w:rFonts w:cs="TT222t00"/>
        </w:rPr>
        <w:t xml:space="preserve">as part of the government’s fiduciary assets.  This </w:t>
      </w:r>
      <w:r w:rsidR="003F449E">
        <w:rPr>
          <w:rFonts w:cs="TT222t00"/>
        </w:rPr>
        <w:t xml:space="preserve">was </w:t>
      </w:r>
      <w:r>
        <w:rPr>
          <w:rFonts w:cs="TT222t00"/>
        </w:rPr>
        <w:t>a correct interpretation of GASB</w:t>
      </w:r>
      <w:r w:rsidR="00143068">
        <w:rPr>
          <w:rFonts w:cs="TT222t00"/>
        </w:rPr>
        <w:t>S</w:t>
      </w:r>
      <w:r>
        <w:rPr>
          <w:rFonts w:cs="TT222t00"/>
        </w:rPr>
        <w:t xml:space="preserve"> 32  </w:t>
      </w:r>
      <w:r w:rsidRPr="004B1AF3">
        <w:rPr>
          <w:rFonts w:cs="TT222t00"/>
          <w:b/>
          <w:color w:val="C00000"/>
          <w:u w:val="single"/>
        </w:rPr>
        <w:t>unless</w:t>
      </w:r>
      <w:r>
        <w:rPr>
          <w:rFonts w:cs="TT222t00"/>
        </w:rPr>
        <w:t xml:space="preserve">  the government still maintained control of the 457 Plan assets.  By control I mean, either the government maintained administrative control of plan assets (such as making investment decisions for the plan) or physically controlled or possessed the assets of the plan. </w:t>
      </w:r>
      <w:r w:rsidR="004D6A85">
        <w:rPr>
          <w:rFonts w:cs="TT222t00"/>
        </w:rPr>
        <w:t xml:space="preserve">Because of IRS Regulations, </w:t>
      </w:r>
      <w:r>
        <w:rPr>
          <w:rFonts w:cs="TT222t00"/>
        </w:rPr>
        <w:t>457 Plans established before 1996 should include clauses that call for the government to maintain legal rights to plan assets.  In those situations, 457 Plan assets should have been presented as part of the government in a fiduciary fund.  This also means the</w:t>
      </w:r>
      <w:r w:rsidR="001A2409">
        <w:rPr>
          <w:rFonts w:cs="TT222t00"/>
        </w:rPr>
        <w:t>se</w:t>
      </w:r>
      <w:r>
        <w:rPr>
          <w:rFonts w:cs="TT222t00"/>
        </w:rPr>
        <w:t xml:space="preserve"> 457 Plan</w:t>
      </w:r>
      <w:r w:rsidR="001A2409">
        <w:rPr>
          <w:rFonts w:cs="TT222t00"/>
        </w:rPr>
        <w:t>s</w:t>
      </w:r>
      <w:r>
        <w:rPr>
          <w:rFonts w:cs="TT222t00"/>
        </w:rPr>
        <w:t xml:space="preserve"> should have been audited since </w:t>
      </w:r>
      <w:r w:rsidR="001A2409">
        <w:rPr>
          <w:rFonts w:cs="TT222t00"/>
        </w:rPr>
        <w:t xml:space="preserve">they </w:t>
      </w:r>
      <w:r w:rsidR="00803CB8">
        <w:rPr>
          <w:rFonts w:cs="TT222t00"/>
        </w:rPr>
        <w:t xml:space="preserve">should </w:t>
      </w:r>
      <w:r w:rsidR="003F449E">
        <w:rPr>
          <w:rFonts w:cs="TT222t00"/>
        </w:rPr>
        <w:t xml:space="preserve">have </w:t>
      </w:r>
      <w:r>
        <w:rPr>
          <w:rFonts w:cs="TT222t00"/>
        </w:rPr>
        <w:t>be</w:t>
      </w:r>
      <w:r w:rsidR="003F449E">
        <w:rPr>
          <w:rFonts w:cs="TT222t00"/>
        </w:rPr>
        <w:t>en</w:t>
      </w:r>
      <w:r>
        <w:rPr>
          <w:rFonts w:cs="TT222t00"/>
        </w:rPr>
        <w:t xml:space="preserve"> included in the government’s financial statements.  Even after the </w:t>
      </w:r>
      <w:r w:rsidR="005A688F">
        <w:rPr>
          <w:rFonts w:cs="TT222t00"/>
        </w:rPr>
        <w:t>issuance</w:t>
      </w:r>
      <w:r>
        <w:rPr>
          <w:rFonts w:cs="TT222t00"/>
        </w:rPr>
        <w:t xml:space="preserve"> of GASB</w:t>
      </w:r>
      <w:r w:rsidR="00143068">
        <w:rPr>
          <w:rFonts w:cs="TT222t00"/>
        </w:rPr>
        <w:t>S</w:t>
      </w:r>
      <w:r>
        <w:rPr>
          <w:rFonts w:cs="TT222t00"/>
        </w:rPr>
        <w:t xml:space="preserve"> 32, governments were still required to determine the level of administrative involvement they had with the Plan so as to determine whether Plan Assets should be reported in a fiduciary fund of the government</w:t>
      </w:r>
      <w:r w:rsidR="004C6D6C">
        <w:rPr>
          <w:rFonts w:cs="TT222t00"/>
        </w:rPr>
        <w:t>.</w:t>
      </w:r>
      <w:r>
        <w:rPr>
          <w:rFonts w:cs="TT222t00"/>
        </w:rPr>
        <w:t xml:space="preserve"> </w:t>
      </w:r>
      <w:r w:rsidR="00341BEF">
        <w:rPr>
          <w:rFonts w:cs="TT222t00"/>
        </w:rPr>
        <w:t>GASB</w:t>
      </w:r>
      <w:r w:rsidR="00143068">
        <w:rPr>
          <w:rFonts w:cs="TT222t00"/>
        </w:rPr>
        <w:t>S</w:t>
      </w:r>
      <w:r w:rsidR="00341BEF">
        <w:rPr>
          <w:rFonts w:cs="TT222t00"/>
        </w:rPr>
        <w:t xml:space="preserve"> 32, </w:t>
      </w:r>
      <w:r>
        <w:rPr>
          <w:rFonts w:cs="TT222t00"/>
        </w:rPr>
        <w:t>Paragraph 19 of the Basis for Conclusion</w:t>
      </w:r>
      <w:r w:rsidR="00803CB8">
        <w:rPr>
          <w:rFonts w:cs="TT222t00"/>
        </w:rPr>
        <w:t>s</w:t>
      </w:r>
      <w:r>
        <w:rPr>
          <w:rFonts w:cs="TT222t00"/>
        </w:rPr>
        <w:t xml:space="preserve"> states, “Section 457 plans that meet the criteria for inclusion in the fiduciary funds of a government should be reported as trust funds.</w:t>
      </w:r>
      <w:r w:rsidR="00803CB8">
        <w:rPr>
          <w:rFonts w:cs="TT222t00"/>
        </w:rPr>
        <w:t>”</w:t>
      </w:r>
      <w:r>
        <w:rPr>
          <w:rFonts w:cs="TT222t00"/>
        </w:rPr>
        <w:t xml:space="preserve">  It is clear that </w:t>
      </w:r>
      <w:r w:rsidR="00143068">
        <w:rPr>
          <w:rFonts w:cs="TT222t00"/>
        </w:rPr>
        <w:t xml:space="preserve">the intention of </w:t>
      </w:r>
      <w:r>
        <w:rPr>
          <w:rFonts w:cs="TT222t00"/>
        </w:rPr>
        <w:t>GASB</w:t>
      </w:r>
      <w:r w:rsidR="00143068">
        <w:rPr>
          <w:rFonts w:cs="TT222t00"/>
        </w:rPr>
        <w:t>S</w:t>
      </w:r>
      <w:r>
        <w:rPr>
          <w:rFonts w:cs="TT222t00"/>
        </w:rPr>
        <w:t xml:space="preserve"> 32 </w:t>
      </w:r>
      <w:r w:rsidR="00143068">
        <w:rPr>
          <w:rFonts w:cs="TT222t00"/>
        </w:rPr>
        <w:t>was</w:t>
      </w:r>
      <w:r>
        <w:rPr>
          <w:rFonts w:cs="TT222t00"/>
        </w:rPr>
        <w:t xml:space="preserve"> </w:t>
      </w:r>
      <w:r w:rsidRPr="00664AA6">
        <w:rPr>
          <w:rFonts w:cs="TT222t00"/>
          <w:b/>
          <w:u w:val="single"/>
        </w:rPr>
        <w:t>not</w:t>
      </w:r>
      <w:r>
        <w:rPr>
          <w:rFonts w:cs="TT222t00"/>
        </w:rPr>
        <w:t xml:space="preserve"> to </w:t>
      </w:r>
      <w:r w:rsidRPr="00664AA6">
        <w:rPr>
          <w:rFonts w:cs="TT222t00"/>
          <w:b/>
          <w:u w:val="single"/>
        </w:rPr>
        <w:t>exclude</w:t>
      </w:r>
      <w:r w:rsidRPr="00664AA6">
        <w:rPr>
          <w:rFonts w:cs="TT222t00"/>
          <w:b/>
        </w:rPr>
        <w:t xml:space="preserve"> </w:t>
      </w:r>
      <w:r w:rsidRPr="00664AA6">
        <w:rPr>
          <w:rFonts w:cs="TT222t00"/>
          <w:b/>
          <w:u w:val="single"/>
        </w:rPr>
        <w:t>all</w:t>
      </w:r>
      <w:r>
        <w:rPr>
          <w:rFonts w:cs="TT222t00"/>
        </w:rPr>
        <w:t xml:space="preserve"> 457 Plans from being reported as fiduciary fund</w:t>
      </w:r>
      <w:r w:rsidR="001A2409">
        <w:rPr>
          <w:rFonts w:cs="TT222t00"/>
        </w:rPr>
        <w:t>s</w:t>
      </w:r>
      <w:r>
        <w:rPr>
          <w:rFonts w:cs="TT222t00"/>
        </w:rPr>
        <w:t xml:space="preserve"> of the government.</w:t>
      </w:r>
    </w:p>
    <w:p w:rsidR="00DE49E6" w:rsidRDefault="00DE49E6" w:rsidP="00F931EF">
      <w:pPr>
        <w:jc w:val="both"/>
        <w:rPr>
          <w:rFonts w:cs="TT222t00"/>
        </w:rPr>
      </w:pPr>
    </w:p>
    <w:p w:rsidR="00DE49E6" w:rsidRDefault="00143068" w:rsidP="00F931EF">
      <w:pPr>
        <w:jc w:val="both"/>
        <w:rPr>
          <w:rFonts w:cs="TT222t00"/>
        </w:rPr>
      </w:pPr>
      <w:r>
        <w:rPr>
          <w:rFonts w:cs="TT222t00"/>
        </w:rPr>
        <w:t xml:space="preserve">The concept of </w:t>
      </w:r>
      <w:r w:rsidRPr="00143068">
        <w:rPr>
          <w:rFonts w:cs="TT222t00"/>
          <w:u w:val="single"/>
        </w:rPr>
        <w:t>control</w:t>
      </w:r>
      <w:r>
        <w:rPr>
          <w:rFonts w:cs="TT222t00"/>
        </w:rPr>
        <w:t xml:space="preserve"> under GASBS 32 has</w:t>
      </w:r>
      <w:r w:rsidR="00DE49E6">
        <w:rPr>
          <w:rFonts w:cs="TT222t00"/>
        </w:rPr>
        <w:t xml:space="preserve"> </w:t>
      </w:r>
      <w:r>
        <w:rPr>
          <w:rFonts w:cs="TT222t00"/>
        </w:rPr>
        <w:t xml:space="preserve">been </w:t>
      </w:r>
      <w:r w:rsidR="00DE49E6">
        <w:rPr>
          <w:rFonts w:cs="TT222t00"/>
        </w:rPr>
        <w:t xml:space="preserve">variously understood and applied </w:t>
      </w:r>
      <w:r>
        <w:rPr>
          <w:rFonts w:cs="TT222t00"/>
        </w:rPr>
        <w:t>and the Division has</w:t>
      </w:r>
      <w:r w:rsidR="00DE49E6">
        <w:rPr>
          <w:rFonts w:cs="TT222t00"/>
        </w:rPr>
        <w:t xml:space="preserve"> not taken exception to the various interpretations.  However, in light of the definition of control in the new </w:t>
      </w:r>
      <w:r w:rsidR="00B83E67" w:rsidRPr="009E1ED7">
        <w:rPr>
          <w:rFonts w:cs="TT222t00"/>
          <w:i/>
        </w:rPr>
        <w:t>Fiduciary Activities</w:t>
      </w:r>
      <w:r w:rsidR="00B83E67">
        <w:rPr>
          <w:rFonts w:cs="TT222t00"/>
        </w:rPr>
        <w:t xml:space="preserve"> </w:t>
      </w:r>
      <w:r w:rsidR="00DE49E6">
        <w:rPr>
          <w:rFonts w:cs="TT222t00"/>
        </w:rPr>
        <w:t>Exposure Draft, i</w:t>
      </w:r>
      <w:r w:rsidR="006C2445">
        <w:rPr>
          <w:rFonts w:cs="TT222t00"/>
        </w:rPr>
        <w:t>t</w:t>
      </w:r>
      <w:r w:rsidR="00DE49E6">
        <w:rPr>
          <w:rFonts w:cs="TT222t00"/>
        </w:rPr>
        <w:t xml:space="preserve"> would be prudent for CPA firms to take a second look at each 457 Plan agreement </w:t>
      </w:r>
      <w:r w:rsidR="001019D5">
        <w:rPr>
          <w:rFonts w:cs="TT222t00"/>
        </w:rPr>
        <w:t>examining</w:t>
      </w:r>
      <w:r w:rsidR="00DE49E6">
        <w:rPr>
          <w:rFonts w:cs="TT222t00"/>
        </w:rPr>
        <w:t xml:space="preserve"> clauses that unequivocally indicate control (i.e. fiduciary responsibility)</w:t>
      </w:r>
      <w:r w:rsidR="00366330">
        <w:rPr>
          <w:rFonts w:cs="TT222t00"/>
        </w:rPr>
        <w:t>.  This would</w:t>
      </w:r>
      <w:r>
        <w:rPr>
          <w:rFonts w:cs="TT222t00"/>
        </w:rPr>
        <w:t xml:space="preserve"> ensure </w:t>
      </w:r>
      <w:r w:rsidR="00366330">
        <w:rPr>
          <w:rFonts w:cs="TT222t00"/>
        </w:rPr>
        <w:t>each</w:t>
      </w:r>
      <w:r>
        <w:rPr>
          <w:rFonts w:cs="TT222t00"/>
        </w:rPr>
        <w:t xml:space="preserve"> government </w:t>
      </w:r>
      <w:r w:rsidR="00366330">
        <w:rPr>
          <w:rFonts w:cs="TT222t00"/>
        </w:rPr>
        <w:t>is reporting its Plan in accordance with applicable accounting standards</w:t>
      </w:r>
      <w:r w:rsidR="00DE49E6">
        <w:rPr>
          <w:rFonts w:cs="TT222t00"/>
        </w:rPr>
        <w:t xml:space="preserve">.  The same could be said for other types of </w:t>
      </w:r>
      <w:r w:rsidR="00366330">
        <w:rPr>
          <w:rFonts w:cs="TT222t00"/>
        </w:rPr>
        <w:t>D</w:t>
      </w:r>
      <w:r w:rsidR="00DE49E6">
        <w:rPr>
          <w:rFonts w:cs="TT222t00"/>
        </w:rPr>
        <w:t xml:space="preserve">eferred </w:t>
      </w:r>
      <w:r w:rsidR="00366330">
        <w:rPr>
          <w:rFonts w:cs="TT222t00"/>
        </w:rPr>
        <w:t>C</w:t>
      </w:r>
      <w:r w:rsidR="00DE49E6">
        <w:rPr>
          <w:rFonts w:cs="TT222t00"/>
        </w:rPr>
        <w:t xml:space="preserve">ompensation </w:t>
      </w:r>
      <w:r w:rsidR="00366330">
        <w:rPr>
          <w:rFonts w:cs="TT222t00"/>
        </w:rPr>
        <w:t>P</w:t>
      </w:r>
      <w:r w:rsidR="00DE49E6">
        <w:rPr>
          <w:rFonts w:cs="TT222t00"/>
        </w:rPr>
        <w:t>lans as well.</w:t>
      </w:r>
    </w:p>
    <w:p w:rsidR="00DE49E6" w:rsidRDefault="00DE49E6" w:rsidP="00F931EF">
      <w:pPr>
        <w:jc w:val="both"/>
        <w:rPr>
          <w:rFonts w:cs="TT222t00"/>
        </w:rPr>
      </w:pPr>
    </w:p>
    <w:p w:rsidR="00DE49E6" w:rsidRDefault="00DE49E6" w:rsidP="00F931EF">
      <w:pPr>
        <w:jc w:val="both"/>
        <w:rPr>
          <w:rFonts w:cs="TT222t00"/>
        </w:rPr>
      </w:pPr>
      <w:r>
        <w:rPr>
          <w:rFonts w:cs="TT222t00"/>
        </w:rPr>
        <w:t>GASB</w:t>
      </w:r>
      <w:r w:rsidR="00366330">
        <w:rPr>
          <w:rFonts w:cs="TT222t00"/>
        </w:rPr>
        <w:t>S</w:t>
      </w:r>
      <w:r>
        <w:rPr>
          <w:rFonts w:cs="TT222t00"/>
        </w:rPr>
        <w:t xml:space="preserve"> 14, paragraph 19, states “…there may be organizations that do not meet the definition for inclusion in the financial reporting entity.  They should nevertheless, be reported as a fiduciary fund of the primary government if the primary government has a fiduciary responsibility for them.”  This simply means that, even if the entity does not meet the definition for inclusion as a component unit, </w:t>
      </w:r>
      <w:r w:rsidR="008D6EE4">
        <w:rPr>
          <w:rFonts w:cs="TT222t00"/>
        </w:rPr>
        <w:t>the entity</w:t>
      </w:r>
      <w:r>
        <w:rPr>
          <w:rFonts w:cs="TT222t00"/>
        </w:rPr>
        <w:t xml:space="preserve"> should be included in the primary government’s financial statements </w:t>
      </w:r>
      <w:r w:rsidRPr="00341BEF">
        <w:rPr>
          <w:rFonts w:cs="TT222t00"/>
          <w:b/>
          <w:u w:val="single"/>
        </w:rPr>
        <w:t>if</w:t>
      </w:r>
      <w:r w:rsidRPr="00341BEF">
        <w:rPr>
          <w:rFonts w:cs="TT222t00"/>
        </w:rPr>
        <w:t xml:space="preserve"> </w:t>
      </w:r>
      <w:r>
        <w:rPr>
          <w:rFonts w:cs="TT222t00"/>
        </w:rPr>
        <w:t xml:space="preserve">the primary government has a fiduciary responsibility for the entity.  Again, this would mean the entity for which the primary government has a fiduciary responsibility should be audited since it would be included in the government’s financial statements.  GASB’s Implementation Guide 2015-1, Question 4.14.1 further explains paragraph 19. </w:t>
      </w:r>
    </w:p>
    <w:p w:rsidR="00DE49E6" w:rsidRDefault="00DE49E6" w:rsidP="00F931EF">
      <w:pPr>
        <w:jc w:val="both"/>
        <w:rPr>
          <w:rFonts w:cs="TT222t00"/>
        </w:rPr>
      </w:pPr>
    </w:p>
    <w:p w:rsidR="0061609E" w:rsidRDefault="00C863C5" w:rsidP="00F931EF">
      <w:pPr>
        <w:jc w:val="both"/>
        <w:rPr>
          <w:rFonts w:cs="TT222t00"/>
        </w:rPr>
      </w:pPr>
      <w:r>
        <w:rPr>
          <w:rFonts w:cs="TT222t00"/>
        </w:rPr>
        <w:t>GASB’s</w:t>
      </w:r>
      <w:r w:rsidR="00DE49E6">
        <w:rPr>
          <w:rFonts w:cs="TT222t00"/>
        </w:rPr>
        <w:t xml:space="preserve"> </w:t>
      </w:r>
      <w:r w:rsidR="00B83E67" w:rsidRPr="00264A67">
        <w:rPr>
          <w:rFonts w:cs="TT222t00"/>
          <w:i/>
        </w:rPr>
        <w:t>Fiduciary Activities</w:t>
      </w:r>
      <w:r w:rsidR="00B83E67">
        <w:rPr>
          <w:rFonts w:cs="TT222t00"/>
          <w:i/>
        </w:rPr>
        <w:t xml:space="preserve"> </w:t>
      </w:r>
      <w:r w:rsidR="00DE49E6">
        <w:rPr>
          <w:rFonts w:cs="TT222t00"/>
        </w:rPr>
        <w:t>Exposure Draft provide</w:t>
      </w:r>
      <w:r w:rsidR="008D6EE4">
        <w:rPr>
          <w:rFonts w:cs="TT222t00"/>
        </w:rPr>
        <w:t>s</w:t>
      </w:r>
      <w:r w:rsidR="00DE49E6">
        <w:rPr>
          <w:rFonts w:cs="TT222t00"/>
        </w:rPr>
        <w:t xml:space="preserve"> a clear definition of fiduciary responsibility</w:t>
      </w:r>
      <w:r w:rsidR="00486119">
        <w:rPr>
          <w:rFonts w:cs="TT222t00"/>
        </w:rPr>
        <w:t>.   The GASB Standard is expected to be issued by the 4</w:t>
      </w:r>
      <w:r w:rsidR="00486119" w:rsidRPr="00C863C5">
        <w:rPr>
          <w:rFonts w:cs="TT222t00"/>
          <w:vertAlign w:val="superscript"/>
        </w:rPr>
        <w:t>th</w:t>
      </w:r>
      <w:r w:rsidR="00486119">
        <w:rPr>
          <w:rFonts w:cs="TT222t00"/>
        </w:rPr>
        <w:t xml:space="preserve"> Quarter 2016</w:t>
      </w:r>
      <w:r>
        <w:rPr>
          <w:rFonts w:cs="TT222t00"/>
        </w:rPr>
        <w:t>,</w:t>
      </w:r>
      <w:r w:rsidR="00DE49E6">
        <w:rPr>
          <w:rFonts w:cs="TT222t00"/>
        </w:rPr>
        <w:t xml:space="preserve"> but the proposed effective date for the GASB Standard is </w:t>
      </w:r>
      <w:r w:rsidR="00012B7A">
        <w:rPr>
          <w:rFonts w:cs="TT222t00"/>
        </w:rPr>
        <w:t>for reporting periods beginning after December 15</w:t>
      </w:r>
      <w:r w:rsidR="00DE49E6">
        <w:rPr>
          <w:rFonts w:cs="TT222t00"/>
        </w:rPr>
        <w:t>, 201</w:t>
      </w:r>
      <w:r w:rsidR="00012B7A">
        <w:rPr>
          <w:rFonts w:cs="TT222t00"/>
        </w:rPr>
        <w:t>7</w:t>
      </w:r>
      <w:r w:rsidR="00DE49E6">
        <w:rPr>
          <w:rFonts w:cs="TT222t00"/>
        </w:rPr>
        <w:t>.  Earlier application is encouraged.</w:t>
      </w:r>
    </w:p>
    <w:p w:rsidR="0061609E" w:rsidRDefault="0061609E" w:rsidP="00F931EF">
      <w:pPr>
        <w:jc w:val="both"/>
        <w:rPr>
          <w:rFonts w:cs="TT222t00"/>
        </w:rPr>
      </w:pPr>
    </w:p>
    <w:p w:rsidR="00DE49E6" w:rsidRDefault="00DE49E6" w:rsidP="00F931EF">
      <w:pPr>
        <w:jc w:val="both"/>
        <w:rPr>
          <w:rFonts w:cs="TT222t00"/>
        </w:rPr>
      </w:pPr>
      <w:r>
        <w:rPr>
          <w:rFonts w:cs="TT222t00"/>
        </w:rPr>
        <w:t>So what do we do in the meantime?</w:t>
      </w:r>
    </w:p>
    <w:p w:rsidR="00DE49E6" w:rsidRDefault="00DE49E6" w:rsidP="00F931EF">
      <w:pPr>
        <w:jc w:val="both"/>
        <w:rPr>
          <w:rFonts w:cs="TT222t00"/>
        </w:rPr>
      </w:pPr>
    </w:p>
    <w:p w:rsidR="00160783" w:rsidRDefault="00160783" w:rsidP="00F931EF">
      <w:pPr>
        <w:jc w:val="both"/>
        <w:rPr>
          <w:rFonts w:cs="TT222t00"/>
        </w:rPr>
      </w:pPr>
    </w:p>
    <w:p w:rsidR="00160783" w:rsidRDefault="00160783" w:rsidP="00F931EF">
      <w:pPr>
        <w:jc w:val="both"/>
        <w:rPr>
          <w:rFonts w:cs="TT222t00"/>
        </w:rPr>
      </w:pPr>
    </w:p>
    <w:p w:rsidR="00160783" w:rsidRDefault="00160783" w:rsidP="00F931EF">
      <w:pPr>
        <w:jc w:val="both"/>
        <w:rPr>
          <w:rFonts w:cs="TT222t00"/>
        </w:rPr>
      </w:pPr>
    </w:p>
    <w:p w:rsidR="00160783" w:rsidRDefault="00160783" w:rsidP="00F931EF">
      <w:pPr>
        <w:jc w:val="both"/>
        <w:rPr>
          <w:rFonts w:cs="TT222t00"/>
        </w:rPr>
      </w:pPr>
    </w:p>
    <w:p w:rsidR="00160783" w:rsidRDefault="00160783" w:rsidP="00F931EF">
      <w:pPr>
        <w:jc w:val="both"/>
        <w:rPr>
          <w:rFonts w:cs="TT222t00"/>
        </w:rPr>
      </w:pPr>
    </w:p>
    <w:p w:rsidR="00DE49E6" w:rsidRDefault="00DE49E6" w:rsidP="00F931EF">
      <w:pPr>
        <w:jc w:val="both"/>
        <w:rPr>
          <w:rFonts w:cs="TT222t00"/>
        </w:rPr>
      </w:pPr>
      <w:r>
        <w:rPr>
          <w:rFonts w:cs="TT222t00"/>
        </w:rPr>
        <w:t xml:space="preserve">GASB </w:t>
      </w:r>
      <w:r w:rsidR="00366330">
        <w:rPr>
          <w:rFonts w:cs="TT222t00"/>
        </w:rPr>
        <w:t>a</w:t>
      </w:r>
      <w:r>
        <w:rPr>
          <w:rFonts w:cs="TT222t00"/>
        </w:rPr>
        <w:t>dmits there has been confusion and a lack of clear guidance about the definition of control (i.e. fiduciary responsibility).  I think GASB’s assessment is correct.  The Division of Local Government Audit proposes the following solution:</w:t>
      </w:r>
    </w:p>
    <w:p w:rsidR="00DE49E6" w:rsidRDefault="00DE49E6" w:rsidP="00F931EF">
      <w:pPr>
        <w:jc w:val="both"/>
        <w:rPr>
          <w:rFonts w:cs="TT222t00"/>
        </w:rPr>
      </w:pPr>
    </w:p>
    <w:p w:rsidR="00DE49E6" w:rsidRDefault="00366330" w:rsidP="00F931EF">
      <w:pPr>
        <w:pStyle w:val="ListParagraph"/>
        <w:numPr>
          <w:ilvl w:val="0"/>
          <w:numId w:val="2"/>
        </w:numPr>
        <w:spacing w:after="160" w:line="259" w:lineRule="auto"/>
        <w:jc w:val="both"/>
        <w:rPr>
          <w:rFonts w:cs="TT222t00"/>
        </w:rPr>
      </w:pPr>
      <w:r>
        <w:rPr>
          <w:rFonts w:cs="TT222t00"/>
        </w:rPr>
        <w:t>The Division</w:t>
      </w:r>
      <w:r w:rsidR="00DE49E6">
        <w:rPr>
          <w:rFonts w:cs="TT222t00"/>
        </w:rPr>
        <w:t xml:space="preserve"> </w:t>
      </w:r>
      <w:r w:rsidR="00DE49E6" w:rsidRPr="00455AA6">
        <w:rPr>
          <w:rFonts w:cs="TT222t00"/>
          <w:u w:val="single"/>
        </w:rPr>
        <w:t>encourage</w:t>
      </w:r>
      <w:r>
        <w:rPr>
          <w:rFonts w:cs="TT222t00"/>
          <w:u w:val="single"/>
        </w:rPr>
        <w:t>s</w:t>
      </w:r>
      <w:r w:rsidR="00DE49E6">
        <w:rPr>
          <w:rFonts w:cs="TT222t00"/>
        </w:rPr>
        <w:t xml:space="preserve"> </w:t>
      </w:r>
      <w:r>
        <w:rPr>
          <w:rFonts w:cs="TT222t00"/>
        </w:rPr>
        <w:t xml:space="preserve">reporting </w:t>
      </w:r>
      <w:r w:rsidR="00DE49E6">
        <w:rPr>
          <w:rFonts w:cs="TT222t00"/>
        </w:rPr>
        <w:t xml:space="preserve">457 Plans and other types of Deferred Compensation Plans as fiduciary funds of the government when there is sufficient appropriate evidence demonstrating a government has administrative </w:t>
      </w:r>
      <w:r w:rsidR="00076C31">
        <w:rPr>
          <w:rFonts w:cs="TT222t00"/>
        </w:rPr>
        <w:t>and/</w:t>
      </w:r>
      <w:r w:rsidR="00DE49E6">
        <w:rPr>
          <w:rFonts w:cs="TT222t00"/>
        </w:rPr>
        <w:t xml:space="preserve">or physical control over plans assets. </w:t>
      </w:r>
      <w:r w:rsidR="00121669">
        <w:rPr>
          <w:rFonts w:cs="TT222t00"/>
        </w:rPr>
        <w:t>W</w:t>
      </w:r>
      <w:r w:rsidR="00DE49E6">
        <w:rPr>
          <w:rFonts w:cs="TT222t00"/>
        </w:rPr>
        <w:t xml:space="preserve">e recommend using the </w:t>
      </w:r>
      <w:r w:rsidR="00B83E67" w:rsidRPr="00455AA6">
        <w:rPr>
          <w:rFonts w:cs="TT222t00"/>
          <w:i/>
        </w:rPr>
        <w:t>Fiduciary Activities</w:t>
      </w:r>
      <w:r w:rsidR="00B83E67">
        <w:rPr>
          <w:rFonts w:cs="TT222t00"/>
          <w:i/>
        </w:rPr>
        <w:t xml:space="preserve"> </w:t>
      </w:r>
      <w:r w:rsidR="00DE49E6">
        <w:rPr>
          <w:rFonts w:cs="TT222t00"/>
        </w:rPr>
        <w:t>Exposure Draft to assist in making those decisions.</w:t>
      </w:r>
    </w:p>
    <w:p w:rsidR="00DE49E6" w:rsidRDefault="00366330" w:rsidP="00F931EF">
      <w:pPr>
        <w:pStyle w:val="ListParagraph"/>
        <w:numPr>
          <w:ilvl w:val="0"/>
          <w:numId w:val="2"/>
        </w:numPr>
        <w:spacing w:after="160" w:line="259" w:lineRule="auto"/>
        <w:jc w:val="both"/>
        <w:rPr>
          <w:rFonts w:cs="TT222t00"/>
        </w:rPr>
      </w:pPr>
      <w:r>
        <w:rPr>
          <w:rFonts w:cs="TT222t00"/>
        </w:rPr>
        <w:t xml:space="preserve">The Division also encourages </w:t>
      </w:r>
      <w:r w:rsidR="00664AA6">
        <w:rPr>
          <w:rFonts w:cs="TT222t00"/>
        </w:rPr>
        <w:t xml:space="preserve">CPAs </w:t>
      </w:r>
      <w:r>
        <w:rPr>
          <w:rFonts w:cs="TT222t00"/>
        </w:rPr>
        <w:t xml:space="preserve">to </w:t>
      </w:r>
      <w:r w:rsidR="00664AA6">
        <w:rPr>
          <w:rFonts w:cs="TT222t00"/>
        </w:rPr>
        <w:t>advise local g</w:t>
      </w:r>
      <w:r w:rsidR="00DE49E6">
        <w:rPr>
          <w:rFonts w:cs="TT222t00"/>
        </w:rPr>
        <w:t>overnments as to the requirements of the new Exposure Draft in preparation for any change</w:t>
      </w:r>
      <w:r w:rsidR="00803CB8">
        <w:rPr>
          <w:rFonts w:cs="TT222t00"/>
        </w:rPr>
        <w:t>s</w:t>
      </w:r>
      <w:r w:rsidR="00DE49E6">
        <w:rPr>
          <w:rFonts w:cs="TT222t00"/>
        </w:rPr>
        <w:t xml:space="preserve"> that may be necessary</w:t>
      </w:r>
      <w:r w:rsidR="00121669">
        <w:rPr>
          <w:rFonts w:cs="TT222t00"/>
        </w:rPr>
        <w:t xml:space="preserve"> (i.e. possibility of an audit</w:t>
      </w:r>
      <w:r w:rsidR="00F931EF">
        <w:rPr>
          <w:rFonts w:cs="TT222t00"/>
        </w:rPr>
        <w:t xml:space="preserve"> and additional costs</w:t>
      </w:r>
      <w:r w:rsidR="00121669">
        <w:rPr>
          <w:rFonts w:cs="TT222t00"/>
        </w:rPr>
        <w:t>)</w:t>
      </w:r>
      <w:r w:rsidR="00DE49E6">
        <w:rPr>
          <w:rFonts w:cs="TT222t00"/>
        </w:rPr>
        <w:t>.</w:t>
      </w:r>
    </w:p>
    <w:p w:rsidR="00DE49E6" w:rsidRDefault="00DE49E6" w:rsidP="00F931EF">
      <w:pPr>
        <w:pStyle w:val="ListParagraph"/>
        <w:numPr>
          <w:ilvl w:val="0"/>
          <w:numId w:val="2"/>
        </w:numPr>
        <w:spacing w:after="160" w:line="259" w:lineRule="auto"/>
        <w:jc w:val="both"/>
        <w:rPr>
          <w:rFonts w:cs="TT222t00"/>
        </w:rPr>
      </w:pPr>
      <w:r>
        <w:rPr>
          <w:rFonts w:cs="TT222t00"/>
        </w:rPr>
        <w:t xml:space="preserve">Any 457 or other type of Deferred Compensation Plan </w:t>
      </w:r>
      <w:r w:rsidR="007E3E7B">
        <w:rPr>
          <w:rFonts w:cs="TT222t00"/>
        </w:rPr>
        <w:t xml:space="preserve">over which the government has fiduciary responsibility </w:t>
      </w:r>
      <w:r w:rsidRPr="002D06C2">
        <w:rPr>
          <w:rFonts w:cs="TT222t00"/>
          <w:b/>
        </w:rPr>
        <w:t>should be audited</w:t>
      </w:r>
      <w:r>
        <w:rPr>
          <w:rFonts w:cs="TT222t00"/>
        </w:rPr>
        <w:t>.</w:t>
      </w:r>
    </w:p>
    <w:p w:rsidR="00007BD7" w:rsidRDefault="00007BD7" w:rsidP="00F931EF">
      <w:pPr>
        <w:pStyle w:val="ListParagraph"/>
        <w:numPr>
          <w:ilvl w:val="0"/>
          <w:numId w:val="2"/>
        </w:numPr>
        <w:spacing w:after="160" w:line="259" w:lineRule="auto"/>
        <w:jc w:val="both"/>
        <w:rPr>
          <w:rFonts w:cs="TT222t00"/>
        </w:rPr>
      </w:pPr>
      <w:r>
        <w:rPr>
          <w:rFonts w:cs="TT222t00"/>
        </w:rPr>
        <w:t xml:space="preserve">The new Exposure Draft makes it </w:t>
      </w:r>
      <w:r w:rsidR="00366330">
        <w:rPr>
          <w:rFonts w:cs="TT222t00"/>
        </w:rPr>
        <w:t>clear</w:t>
      </w:r>
      <w:r>
        <w:rPr>
          <w:rFonts w:cs="TT222t00"/>
        </w:rPr>
        <w:t xml:space="preserve"> that stand-alone financial statements of business-type activities should include </w:t>
      </w:r>
      <w:r w:rsidR="005E4AC5">
        <w:rPr>
          <w:rFonts w:cs="TT222t00"/>
        </w:rPr>
        <w:t>resources</w:t>
      </w:r>
      <w:r>
        <w:rPr>
          <w:rFonts w:cs="TT222t00"/>
        </w:rPr>
        <w:t xml:space="preserve"> </w:t>
      </w:r>
      <w:r w:rsidR="005E4AC5">
        <w:rPr>
          <w:rFonts w:cs="TT222t00"/>
        </w:rPr>
        <w:t>over</w:t>
      </w:r>
      <w:r>
        <w:rPr>
          <w:rFonts w:cs="TT222t00"/>
        </w:rPr>
        <w:t xml:space="preserve"> which the business-type activity has a fiduciary responsibility.</w:t>
      </w:r>
    </w:p>
    <w:p w:rsidR="00007BD7" w:rsidRDefault="00007BD7" w:rsidP="00F931EF">
      <w:pPr>
        <w:pStyle w:val="ListParagraph"/>
        <w:numPr>
          <w:ilvl w:val="0"/>
          <w:numId w:val="2"/>
        </w:numPr>
        <w:spacing w:after="160" w:line="259" w:lineRule="auto"/>
        <w:jc w:val="both"/>
        <w:rPr>
          <w:rFonts w:cs="TT222t00"/>
        </w:rPr>
      </w:pPr>
      <w:r>
        <w:rPr>
          <w:rFonts w:cs="TT222t00"/>
        </w:rPr>
        <w:t xml:space="preserve">CPA Firms should obtain and read plan agreements and document those agreements in their working papers.  In some cases the plan agreements will be quite old.  The older the agreement, the more likely there will be some measure of administrative </w:t>
      </w:r>
      <w:r w:rsidR="00B52924">
        <w:rPr>
          <w:rFonts w:cs="TT222t00"/>
        </w:rPr>
        <w:t>and/</w:t>
      </w:r>
      <w:r>
        <w:rPr>
          <w:rFonts w:cs="TT222t00"/>
        </w:rPr>
        <w:t>or physical control.</w:t>
      </w:r>
    </w:p>
    <w:p w:rsidR="00B678F2" w:rsidRPr="00B678F2" w:rsidRDefault="00B678F2" w:rsidP="00B678F2">
      <w:pPr>
        <w:pStyle w:val="ListParagraph"/>
        <w:numPr>
          <w:ilvl w:val="0"/>
          <w:numId w:val="2"/>
        </w:numPr>
        <w:jc w:val="both"/>
        <w:rPr>
          <w:rFonts w:ascii="Calibri" w:hAnsi="Calibri"/>
          <w:szCs w:val="22"/>
        </w:rPr>
      </w:pPr>
      <w:r>
        <w:t>Nothing in 1-5 above is intended to prevent separate reporting for a Government and its 457 Pension Plan or Other Deferred Compensation Plans (i.e. Trust Funds).  However, if a report does not include all required funds, the Independent Auditor’s Report would need to address the departure from GAAP (e.g., qualified opinion if necessary).</w:t>
      </w:r>
    </w:p>
    <w:p w:rsidR="004F5911" w:rsidRPr="004F5911" w:rsidRDefault="004F5911" w:rsidP="004F5911">
      <w:pPr>
        <w:pStyle w:val="ListParagraph"/>
        <w:numPr>
          <w:ilvl w:val="0"/>
          <w:numId w:val="2"/>
        </w:numPr>
        <w:jc w:val="both"/>
      </w:pPr>
      <w:r>
        <w:t xml:space="preserve">457 </w:t>
      </w:r>
      <w:r w:rsidR="00341BEF">
        <w:t xml:space="preserve">Plans </w:t>
      </w:r>
      <w:r>
        <w:t xml:space="preserve">or </w:t>
      </w:r>
      <w:r w:rsidR="00341BEF">
        <w:t>D</w:t>
      </w:r>
      <w:r>
        <w:t xml:space="preserve">eferred Compensation Plans </w:t>
      </w:r>
      <w:r w:rsidRPr="004F5911">
        <w:t xml:space="preserve">would </w:t>
      </w:r>
      <w:r w:rsidRPr="00B678F2">
        <w:rPr>
          <w:b/>
          <w:u w:val="single"/>
        </w:rPr>
        <w:t>not</w:t>
      </w:r>
      <w:r w:rsidRPr="004F5911">
        <w:t xml:space="preserve"> be included as fiduciary funds of the government when there is sufficient appropriate evidence demonstrating a government has relinquished administrative </w:t>
      </w:r>
      <w:r w:rsidR="005E4742">
        <w:t>and</w:t>
      </w:r>
      <w:r w:rsidRPr="004F5911">
        <w:t xml:space="preserve"> physical control over plan assets to a third party administrator or trustee.  We recommend using the </w:t>
      </w:r>
      <w:r w:rsidR="00B83E67" w:rsidRPr="00044FB5">
        <w:rPr>
          <w:i/>
        </w:rPr>
        <w:t>Fiduciary Activities</w:t>
      </w:r>
      <w:r w:rsidR="00B83E67" w:rsidRPr="004F5911">
        <w:t xml:space="preserve"> </w:t>
      </w:r>
      <w:r w:rsidRPr="004F5911">
        <w:t>Exposure Draft to assist in making those decisions.</w:t>
      </w:r>
    </w:p>
    <w:p w:rsidR="003F2DF1" w:rsidRDefault="003F2DF1" w:rsidP="00F931EF">
      <w:pPr>
        <w:pStyle w:val="ListParagraph"/>
        <w:spacing w:after="160" w:line="259" w:lineRule="auto"/>
        <w:ind w:left="842"/>
        <w:jc w:val="both"/>
        <w:rPr>
          <w:rFonts w:cs="TT222t00"/>
        </w:rPr>
      </w:pPr>
    </w:p>
    <w:p w:rsidR="002D06C2" w:rsidRPr="002D06C2" w:rsidRDefault="008C2C70" w:rsidP="00F931EF">
      <w:pPr>
        <w:spacing w:after="160" w:line="259" w:lineRule="auto"/>
        <w:jc w:val="both"/>
        <w:rPr>
          <w:rFonts w:cs="TT222t00"/>
          <w:b/>
          <w:u w:val="single"/>
        </w:rPr>
      </w:pPr>
      <w:r>
        <w:rPr>
          <w:rFonts w:cs="TT222t00"/>
          <w:b/>
          <w:u w:val="single"/>
        </w:rPr>
        <w:t xml:space="preserve">Proposed </w:t>
      </w:r>
      <w:r w:rsidR="00047589">
        <w:rPr>
          <w:rFonts w:cs="TT222t00"/>
          <w:b/>
          <w:u w:val="single"/>
        </w:rPr>
        <w:t>Solution</w:t>
      </w:r>
      <w:r w:rsidR="002D06C2" w:rsidRPr="002D06C2">
        <w:rPr>
          <w:rFonts w:cs="TT222t00"/>
          <w:b/>
          <w:u w:val="single"/>
        </w:rPr>
        <w:t xml:space="preserve"> – 457 Plans and Other Deferred Compensation Plans:  </w:t>
      </w:r>
    </w:p>
    <w:p w:rsidR="00B678F2" w:rsidRDefault="00B678F2" w:rsidP="00B678F2">
      <w:pPr>
        <w:pStyle w:val="ListParagraph"/>
        <w:spacing w:after="160" w:line="252" w:lineRule="auto"/>
        <w:ind w:left="0"/>
        <w:jc w:val="both"/>
        <w:rPr>
          <w:b/>
          <w:bCs/>
          <w:szCs w:val="22"/>
        </w:rPr>
      </w:pPr>
      <w:r>
        <w:rPr>
          <w:b/>
          <w:bCs/>
        </w:rPr>
        <w:t xml:space="preserve">The Division believes current standards support the reporting of a fiduciary fund in the situations discussed above and </w:t>
      </w:r>
      <w:r w:rsidR="0043390E">
        <w:rPr>
          <w:b/>
          <w:bCs/>
        </w:rPr>
        <w:t xml:space="preserve">we </w:t>
      </w:r>
      <w:r>
        <w:rPr>
          <w:b/>
          <w:bCs/>
        </w:rPr>
        <w:t xml:space="preserve">may question an entity’s financial statement presentation and a CPA’s audit response in certain obvious situations.  However, the Division will continue to allow </w:t>
      </w:r>
      <w:r>
        <w:rPr>
          <w:b/>
          <w:bCs/>
          <w:u w:val="single"/>
        </w:rPr>
        <w:t>discretion</w:t>
      </w:r>
      <w:r>
        <w:rPr>
          <w:b/>
          <w:bCs/>
        </w:rPr>
        <w:t xml:space="preserve"> when making determinations about fiduciary responsibility and financial statement presentation as it relates to 457 Plans and Deferred Compensation Plans </w:t>
      </w:r>
      <w:r>
        <w:rPr>
          <w:b/>
          <w:bCs/>
          <w:u w:val="single"/>
        </w:rPr>
        <w:t>until</w:t>
      </w:r>
      <w:r>
        <w:rPr>
          <w:b/>
          <w:bCs/>
        </w:rPr>
        <w:t xml:space="preserve"> the effective date of the Exposure Draft.  Our office will </w:t>
      </w:r>
      <w:r>
        <w:rPr>
          <w:b/>
          <w:bCs/>
          <w:u w:val="single"/>
        </w:rPr>
        <w:t>not</w:t>
      </w:r>
      <w:r>
        <w:rPr>
          <w:b/>
          <w:bCs/>
        </w:rPr>
        <w:t xml:space="preserve"> require financial statements to be restated and resubmitted </w:t>
      </w:r>
      <w:r>
        <w:rPr>
          <w:b/>
          <w:bCs/>
          <w:u w:val="single"/>
        </w:rPr>
        <w:t>until</w:t>
      </w:r>
      <w:r>
        <w:rPr>
          <w:b/>
          <w:bCs/>
        </w:rPr>
        <w:t xml:space="preserve"> the </w:t>
      </w:r>
      <w:r w:rsidR="00590DFE">
        <w:rPr>
          <w:b/>
          <w:bCs/>
          <w:i/>
          <w:iCs/>
        </w:rPr>
        <w:t>Fiduciary Activities</w:t>
      </w:r>
      <w:r w:rsidR="00590DFE">
        <w:rPr>
          <w:b/>
          <w:bCs/>
        </w:rPr>
        <w:t xml:space="preserve"> </w:t>
      </w:r>
      <w:r>
        <w:rPr>
          <w:b/>
          <w:bCs/>
        </w:rPr>
        <w:t xml:space="preserve">Exposure Draft is finalized into an Accounting Standard and that Standard becomes </w:t>
      </w:r>
      <w:r>
        <w:rPr>
          <w:b/>
          <w:bCs/>
          <w:u w:val="single"/>
        </w:rPr>
        <w:t>effective</w:t>
      </w:r>
      <w:r>
        <w:rPr>
          <w:b/>
          <w:bCs/>
        </w:rPr>
        <w:t>.</w:t>
      </w:r>
    </w:p>
    <w:p w:rsidR="001826EB" w:rsidRDefault="008414C9" w:rsidP="008414C9">
      <w:pPr>
        <w:tabs>
          <w:tab w:val="left" w:pos="720"/>
          <w:tab w:val="left" w:pos="1440"/>
          <w:tab w:val="left" w:pos="2160"/>
          <w:tab w:val="left" w:pos="2880"/>
          <w:tab w:val="left" w:pos="3600"/>
          <w:tab w:val="left" w:pos="4320"/>
        </w:tabs>
        <w:jc w:val="center"/>
        <w:rPr>
          <w:b/>
          <w:szCs w:val="22"/>
          <w:u w:val="single"/>
        </w:rPr>
      </w:pPr>
      <w:r>
        <w:rPr>
          <w:b/>
          <w:szCs w:val="22"/>
          <w:u w:val="single"/>
        </w:rPr>
        <w:t>___________________________</w:t>
      </w:r>
    </w:p>
    <w:p w:rsidR="008414C9" w:rsidRDefault="008414C9" w:rsidP="00F931EF">
      <w:pPr>
        <w:tabs>
          <w:tab w:val="left" w:pos="720"/>
          <w:tab w:val="left" w:pos="1440"/>
          <w:tab w:val="left" w:pos="2160"/>
          <w:tab w:val="left" w:pos="2880"/>
          <w:tab w:val="left" w:pos="3600"/>
          <w:tab w:val="left" w:pos="4320"/>
        </w:tabs>
        <w:jc w:val="both"/>
        <w:rPr>
          <w:b/>
          <w:szCs w:val="22"/>
          <w:u w:val="single"/>
        </w:rPr>
      </w:pPr>
    </w:p>
    <w:p w:rsidR="003C41E2" w:rsidRDefault="003C41E2" w:rsidP="00F931EF">
      <w:pPr>
        <w:tabs>
          <w:tab w:val="left" w:pos="720"/>
          <w:tab w:val="left" w:pos="1440"/>
          <w:tab w:val="left" w:pos="2160"/>
          <w:tab w:val="left" w:pos="2880"/>
          <w:tab w:val="left" w:pos="3600"/>
          <w:tab w:val="left" w:pos="4320"/>
        </w:tabs>
        <w:jc w:val="both"/>
        <w:rPr>
          <w:b/>
          <w:szCs w:val="22"/>
          <w:u w:val="single"/>
        </w:rPr>
      </w:pPr>
    </w:p>
    <w:p w:rsidR="00160783" w:rsidRDefault="00160783" w:rsidP="00F931EF">
      <w:pPr>
        <w:tabs>
          <w:tab w:val="left" w:pos="720"/>
          <w:tab w:val="left" w:pos="1440"/>
          <w:tab w:val="left" w:pos="2160"/>
          <w:tab w:val="left" w:pos="2880"/>
          <w:tab w:val="left" w:pos="3600"/>
          <w:tab w:val="left" w:pos="4320"/>
        </w:tabs>
        <w:jc w:val="both"/>
        <w:rPr>
          <w:b/>
          <w:szCs w:val="22"/>
          <w:u w:val="single"/>
        </w:rPr>
      </w:pPr>
    </w:p>
    <w:p w:rsidR="00160783" w:rsidRDefault="00160783" w:rsidP="00F931EF">
      <w:pPr>
        <w:tabs>
          <w:tab w:val="left" w:pos="720"/>
          <w:tab w:val="left" w:pos="1440"/>
          <w:tab w:val="left" w:pos="2160"/>
          <w:tab w:val="left" w:pos="2880"/>
          <w:tab w:val="left" w:pos="3600"/>
          <w:tab w:val="left" w:pos="4320"/>
        </w:tabs>
        <w:jc w:val="both"/>
        <w:rPr>
          <w:b/>
          <w:szCs w:val="22"/>
          <w:u w:val="single"/>
        </w:rPr>
      </w:pPr>
    </w:p>
    <w:p w:rsidR="00F342EE" w:rsidRPr="005042A4" w:rsidRDefault="00E35F8B" w:rsidP="005042A4">
      <w:pPr>
        <w:tabs>
          <w:tab w:val="left" w:pos="720"/>
          <w:tab w:val="left" w:pos="1440"/>
          <w:tab w:val="left" w:pos="2160"/>
          <w:tab w:val="left" w:pos="2880"/>
          <w:tab w:val="left" w:pos="3600"/>
          <w:tab w:val="left" w:pos="4320"/>
        </w:tabs>
        <w:jc w:val="center"/>
        <w:rPr>
          <w:b/>
          <w:sz w:val="28"/>
          <w:szCs w:val="22"/>
          <w:u w:val="single"/>
        </w:rPr>
      </w:pPr>
      <w:r w:rsidRPr="005042A4">
        <w:rPr>
          <w:b/>
          <w:sz w:val="28"/>
          <w:szCs w:val="22"/>
          <w:u w:val="single"/>
        </w:rPr>
        <w:t>Pension and OPEB Trust Funds</w:t>
      </w:r>
    </w:p>
    <w:p w:rsidR="00450BC1" w:rsidRPr="00450BC1" w:rsidRDefault="00450BC1" w:rsidP="00F931EF">
      <w:pPr>
        <w:tabs>
          <w:tab w:val="left" w:pos="720"/>
          <w:tab w:val="left" w:pos="1440"/>
          <w:tab w:val="left" w:pos="2160"/>
          <w:tab w:val="left" w:pos="2880"/>
          <w:tab w:val="left" w:pos="3600"/>
          <w:tab w:val="left" w:pos="4320"/>
        </w:tabs>
        <w:jc w:val="both"/>
        <w:rPr>
          <w:b/>
          <w:szCs w:val="22"/>
          <w:u w:val="single"/>
        </w:rPr>
      </w:pPr>
    </w:p>
    <w:p w:rsidR="00914185" w:rsidRDefault="00E35F8B" w:rsidP="00F931EF">
      <w:pPr>
        <w:spacing w:after="160" w:line="259" w:lineRule="auto"/>
        <w:jc w:val="both"/>
        <w:rPr>
          <w:szCs w:val="22"/>
        </w:rPr>
      </w:pPr>
      <w:r w:rsidRPr="00917CC7">
        <w:rPr>
          <w:szCs w:val="22"/>
        </w:rPr>
        <w:t>Many of the same principles noted above apply to Pension and OPEB Trust Funds</w:t>
      </w:r>
      <w:r w:rsidR="00D06B9C">
        <w:rPr>
          <w:szCs w:val="22"/>
        </w:rPr>
        <w:t xml:space="preserve"> (defined benefit and defined contribution)</w:t>
      </w:r>
      <w:r w:rsidRPr="00917CC7">
        <w:rPr>
          <w:szCs w:val="22"/>
        </w:rPr>
        <w:t>.</w:t>
      </w:r>
      <w:r w:rsidR="00103485">
        <w:rPr>
          <w:szCs w:val="22"/>
        </w:rPr>
        <w:t xml:space="preserve">  The applicable </w:t>
      </w:r>
      <w:r w:rsidR="00AC2B6A">
        <w:rPr>
          <w:szCs w:val="22"/>
        </w:rPr>
        <w:t xml:space="preserve">current </w:t>
      </w:r>
      <w:r w:rsidR="001D0EF9">
        <w:rPr>
          <w:szCs w:val="22"/>
        </w:rPr>
        <w:t xml:space="preserve">general </w:t>
      </w:r>
      <w:r w:rsidR="00103485">
        <w:rPr>
          <w:szCs w:val="22"/>
        </w:rPr>
        <w:t xml:space="preserve">guidance </w:t>
      </w:r>
      <w:r w:rsidR="00AC2B6A">
        <w:rPr>
          <w:szCs w:val="22"/>
        </w:rPr>
        <w:t>is</w:t>
      </w:r>
      <w:r w:rsidR="00103485">
        <w:rPr>
          <w:szCs w:val="22"/>
        </w:rPr>
        <w:t xml:space="preserve"> found under NCGA</w:t>
      </w:r>
      <w:r w:rsidR="00D06B9C">
        <w:rPr>
          <w:szCs w:val="22"/>
        </w:rPr>
        <w:t>S</w:t>
      </w:r>
      <w:r w:rsidR="00103485">
        <w:rPr>
          <w:szCs w:val="22"/>
        </w:rPr>
        <w:t xml:space="preserve"> 1</w:t>
      </w:r>
      <w:r w:rsidR="00F931EF">
        <w:rPr>
          <w:szCs w:val="22"/>
        </w:rPr>
        <w:t>, paragraph 1</w:t>
      </w:r>
      <w:r w:rsidR="00D06B9C">
        <w:rPr>
          <w:szCs w:val="22"/>
        </w:rPr>
        <w:t xml:space="preserve"> and GASBS 34</w:t>
      </w:r>
      <w:r w:rsidR="00103485">
        <w:rPr>
          <w:szCs w:val="22"/>
        </w:rPr>
        <w:t xml:space="preserve">.  </w:t>
      </w:r>
      <w:r w:rsidR="00AC2B6A">
        <w:rPr>
          <w:szCs w:val="22"/>
        </w:rPr>
        <w:t xml:space="preserve">The new </w:t>
      </w:r>
      <w:r w:rsidR="00B83E67" w:rsidRPr="00450BC1">
        <w:rPr>
          <w:i/>
          <w:szCs w:val="22"/>
        </w:rPr>
        <w:t>Fiduciary Activities</w:t>
      </w:r>
      <w:r w:rsidR="00B83E67">
        <w:rPr>
          <w:szCs w:val="22"/>
        </w:rPr>
        <w:t xml:space="preserve"> </w:t>
      </w:r>
      <w:r w:rsidR="00AC2B6A">
        <w:rPr>
          <w:szCs w:val="22"/>
        </w:rPr>
        <w:t xml:space="preserve">Exposure Draft specifically </w:t>
      </w:r>
      <w:r w:rsidR="001826EB">
        <w:rPr>
          <w:szCs w:val="22"/>
        </w:rPr>
        <w:t>addresses</w:t>
      </w:r>
      <w:r w:rsidR="00AC2B6A">
        <w:rPr>
          <w:szCs w:val="22"/>
        </w:rPr>
        <w:t xml:space="preserve"> </w:t>
      </w:r>
      <w:r w:rsidR="00450BC1">
        <w:rPr>
          <w:szCs w:val="22"/>
        </w:rPr>
        <w:t>Pension T</w:t>
      </w:r>
      <w:r w:rsidR="00AC2B6A">
        <w:rPr>
          <w:szCs w:val="22"/>
        </w:rPr>
        <w:t>rusts</w:t>
      </w:r>
      <w:r w:rsidR="00450BC1">
        <w:rPr>
          <w:szCs w:val="22"/>
        </w:rPr>
        <w:t xml:space="preserve"> and OPEB Trusts</w:t>
      </w:r>
      <w:r w:rsidR="00AC2B6A">
        <w:rPr>
          <w:szCs w:val="22"/>
        </w:rPr>
        <w:t xml:space="preserve">.  </w:t>
      </w:r>
    </w:p>
    <w:p w:rsidR="00914185" w:rsidRDefault="00914185" w:rsidP="00F931EF">
      <w:pPr>
        <w:spacing w:after="160" w:line="259" w:lineRule="auto"/>
        <w:jc w:val="both"/>
        <w:rPr>
          <w:szCs w:val="22"/>
        </w:rPr>
      </w:pPr>
      <w:r>
        <w:rPr>
          <w:szCs w:val="22"/>
        </w:rPr>
        <w:t xml:space="preserve">There are </w:t>
      </w:r>
      <w:r w:rsidR="001E5303">
        <w:rPr>
          <w:szCs w:val="22"/>
        </w:rPr>
        <w:t>four</w:t>
      </w:r>
      <w:r>
        <w:rPr>
          <w:szCs w:val="22"/>
        </w:rPr>
        <w:t xml:space="preserve"> possible situations involving Pension and OPEB Trusts</w:t>
      </w:r>
      <w:r w:rsidR="001D0EF9">
        <w:rPr>
          <w:szCs w:val="22"/>
        </w:rPr>
        <w:t xml:space="preserve"> CPAs are likely to encounter:</w:t>
      </w:r>
      <w:r>
        <w:rPr>
          <w:szCs w:val="22"/>
        </w:rPr>
        <w:t xml:space="preserve">  </w:t>
      </w:r>
    </w:p>
    <w:p w:rsidR="00687996" w:rsidRDefault="00914185" w:rsidP="00F931EF">
      <w:pPr>
        <w:pStyle w:val="ListParagraph"/>
        <w:numPr>
          <w:ilvl w:val="0"/>
          <w:numId w:val="5"/>
        </w:numPr>
        <w:spacing w:after="160" w:line="259" w:lineRule="auto"/>
        <w:jc w:val="both"/>
        <w:rPr>
          <w:b/>
          <w:szCs w:val="22"/>
        </w:rPr>
      </w:pPr>
      <w:r w:rsidRPr="00693981">
        <w:rPr>
          <w:b/>
          <w:szCs w:val="22"/>
        </w:rPr>
        <w:t xml:space="preserve">Governments administer and/or control the </w:t>
      </w:r>
      <w:r w:rsidR="00450BC1" w:rsidRPr="00693981">
        <w:rPr>
          <w:b/>
          <w:szCs w:val="22"/>
        </w:rPr>
        <w:t>T</w:t>
      </w:r>
      <w:r w:rsidRPr="00693981">
        <w:rPr>
          <w:b/>
          <w:szCs w:val="22"/>
        </w:rPr>
        <w:t xml:space="preserve">rust and present the </w:t>
      </w:r>
      <w:r w:rsidR="00450BC1" w:rsidRPr="00693981">
        <w:rPr>
          <w:b/>
          <w:szCs w:val="22"/>
        </w:rPr>
        <w:t>T</w:t>
      </w:r>
      <w:r w:rsidRPr="00693981">
        <w:rPr>
          <w:b/>
          <w:szCs w:val="22"/>
        </w:rPr>
        <w:t>rust as a fund of the government.</w:t>
      </w:r>
    </w:p>
    <w:p w:rsidR="00914185" w:rsidRDefault="00914185" w:rsidP="00687996">
      <w:pPr>
        <w:pStyle w:val="ListParagraph"/>
        <w:numPr>
          <w:ilvl w:val="1"/>
          <w:numId w:val="5"/>
        </w:numPr>
        <w:spacing w:after="160" w:line="259" w:lineRule="auto"/>
        <w:jc w:val="both"/>
        <w:rPr>
          <w:szCs w:val="22"/>
        </w:rPr>
      </w:pPr>
      <w:r w:rsidRPr="00687996">
        <w:rPr>
          <w:szCs w:val="22"/>
        </w:rPr>
        <w:t>This fund must be audited.</w:t>
      </w:r>
    </w:p>
    <w:p w:rsidR="00687996" w:rsidRPr="00687996" w:rsidRDefault="00687996" w:rsidP="00687996">
      <w:pPr>
        <w:pStyle w:val="ListParagraph"/>
        <w:numPr>
          <w:ilvl w:val="1"/>
          <w:numId w:val="5"/>
        </w:numPr>
        <w:spacing w:after="160" w:line="259" w:lineRule="auto"/>
        <w:jc w:val="both"/>
        <w:rPr>
          <w:szCs w:val="22"/>
        </w:rPr>
      </w:pPr>
      <w:r>
        <w:rPr>
          <w:szCs w:val="22"/>
        </w:rPr>
        <w:t>In some cases a formal Trust Agreement may not exist.</w:t>
      </w:r>
    </w:p>
    <w:p w:rsidR="008449C7" w:rsidRDefault="008449C7" w:rsidP="008449C7">
      <w:pPr>
        <w:pStyle w:val="ListParagraph"/>
        <w:spacing w:after="160" w:line="259" w:lineRule="auto"/>
        <w:jc w:val="both"/>
        <w:rPr>
          <w:szCs w:val="22"/>
        </w:rPr>
      </w:pPr>
    </w:p>
    <w:p w:rsidR="00914185" w:rsidRPr="00693981" w:rsidRDefault="00076C31" w:rsidP="00F931EF">
      <w:pPr>
        <w:pStyle w:val="ListParagraph"/>
        <w:numPr>
          <w:ilvl w:val="0"/>
          <w:numId w:val="5"/>
        </w:numPr>
        <w:spacing w:after="160" w:line="259" w:lineRule="auto"/>
        <w:jc w:val="both"/>
        <w:rPr>
          <w:b/>
          <w:szCs w:val="22"/>
        </w:rPr>
      </w:pPr>
      <w:r>
        <w:rPr>
          <w:b/>
          <w:szCs w:val="22"/>
        </w:rPr>
        <w:t xml:space="preserve">The government deposits </w:t>
      </w:r>
      <w:r w:rsidR="00914185" w:rsidRPr="00693981">
        <w:rPr>
          <w:b/>
          <w:szCs w:val="22"/>
        </w:rPr>
        <w:t xml:space="preserve">Trust </w:t>
      </w:r>
      <w:r w:rsidR="00B83E67">
        <w:rPr>
          <w:b/>
          <w:szCs w:val="22"/>
        </w:rPr>
        <w:t>F</w:t>
      </w:r>
      <w:r w:rsidR="00914185" w:rsidRPr="00693981">
        <w:rPr>
          <w:b/>
          <w:szCs w:val="22"/>
        </w:rPr>
        <w:t>und</w:t>
      </w:r>
      <w:r w:rsidR="00382EAA">
        <w:rPr>
          <w:b/>
          <w:szCs w:val="22"/>
        </w:rPr>
        <w:t xml:space="preserve"> assets</w:t>
      </w:r>
      <w:r w:rsidR="00914185" w:rsidRPr="00693981">
        <w:rPr>
          <w:b/>
          <w:szCs w:val="22"/>
        </w:rPr>
        <w:t xml:space="preserve"> with a third party </w:t>
      </w:r>
      <w:r w:rsidR="00F7264D" w:rsidRPr="00693981">
        <w:rPr>
          <w:b/>
          <w:szCs w:val="22"/>
        </w:rPr>
        <w:t>administrator or trustee</w:t>
      </w:r>
      <w:r w:rsidR="00F00A11">
        <w:rPr>
          <w:b/>
          <w:szCs w:val="22"/>
        </w:rPr>
        <w:t xml:space="preserve"> </w:t>
      </w:r>
      <w:r w:rsidR="005C70CD">
        <w:rPr>
          <w:b/>
          <w:szCs w:val="22"/>
        </w:rPr>
        <w:t xml:space="preserve">and evidence of administrative </w:t>
      </w:r>
      <w:r w:rsidR="008A6430">
        <w:rPr>
          <w:b/>
          <w:szCs w:val="22"/>
        </w:rPr>
        <w:t>and/</w:t>
      </w:r>
      <w:r w:rsidR="005C70CD">
        <w:rPr>
          <w:b/>
          <w:szCs w:val="22"/>
        </w:rPr>
        <w:t>or physical control exists</w:t>
      </w:r>
      <w:r w:rsidR="00F7264D" w:rsidRPr="00693981">
        <w:rPr>
          <w:b/>
          <w:szCs w:val="22"/>
        </w:rPr>
        <w:t>:</w:t>
      </w:r>
    </w:p>
    <w:p w:rsidR="00076C31" w:rsidRDefault="00076C31" w:rsidP="00076C31">
      <w:pPr>
        <w:pStyle w:val="ListParagraph"/>
        <w:numPr>
          <w:ilvl w:val="0"/>
          <w:numId w:val="6"/>
        </w:numPr>
        <w:jc w:val="both"/>
        <w:rPr>
          <w:rFonts w:cs="TT222t00"/>
        </w:rPr>
      </w:pPr>
      <w:r w:rsidRPr="00076C31">
        <w:rPr>
          <w:rFonts w:cs="TT222t00"/>
        </w:rPr>
        <w:t xml:space="preserve">The Division encourages reporting </w:t>
      </w:r>
      <w:r>
        <w:rPr>
          <w:rFonts w:cs="TT222t00"/>
        </w:rPr>
        <w:t>Pension and OPEB Plan Trusts</w:t>
      </w:r>
      <w:r w:rsidRPr="00076C31">
        <w:rPr>
          <w:rFonts w:cs="TT222t00"/>
        </w:rPr>
        <w:t xml:space="preserve"> as fiduciary funds of the government when there is sufficient appropriate evidence demonstrating a government has administrative </w:t>
      </w:r>
      <w:r>
        <w:rPr>
          <w:rFonts w:cs="TT222t00"/>
        </w:rPr>
        <w:t>and/</w:t>
      </w:r>
      <w:r w:rsidRPr="00076C31">
        <w:rPr>
          <w:rFonts w:cs="TT222t00"/>
        </w:rPr>
        <w:t xml:space="preserve">or physical control over plans assets. We recommend using the </w:t>
      </w:r>
      <w:r w:rsidR="0086073F" w:rsidRPr="00044FB5">
        <w:rPr>
          <w:rFonts w:cs="TT222t00"/>
          <w:i/>
        </w:rPr>
        <w:t>Fiduciary Activities</w:t>
      </w:r>
      <w:r w:rsidR="0086073F" w:rsidRPr="00076C31">
        <w:rPr>
          <w:rFonts w:cs="TT222t00"/>
        </w:rPr>
        <w:t xml:space="preserve"> </w:t>
      </w:r>
      <w:r w:rsidRPr="00076C31">
        <w:rPr>
          <w:rFonts w:cs="TT222t00"/>
        </w:rPr>
        <w:t>Exposure Draft to assist in making those decisions.</w:t>
      </w:r>
    </w:p>
    <w:p w:rsidR="009745FA" w:rsidRPr="009745FA" w:rsidRDefault="009745FA" w:rsidP="009745FA">
      <w:pPr>
        <w:pStyle w:val="ListParagraph"/>
        <w:numPr>
          <w:ilvl w:val="0"/>
          <w:numId w:val="6"/>
        </w:numPr>
        <w:jc w:val="both"/>
        <w:rPr>
          <w:rFonts w:cs="TT222t00"/>
        </w:rPr>
      </w:pPr>
      <w:r w:rsidRPr="009745FA">
        <w:rPr>
          <w:rFonts w:cs="TT222t00"/>
        </w:rPr>
        <w:t>The Division also encourages CPAs to advise local governments as to the requirements of the new Exposure Draft in preparation for any changes that may be necessary (i.e. possibility of an audit and additional costs).</w:t>
      </w:r>
    </w:p>
    <w:p w:rsidR="00F931EF" w:rsidRPr="00F931EF" w:rsidRDefault="00F931EF" w:rsidP="00F931EF">
      <w:pPr>
        <w:pStyle w:val="ListParagraph"/>
        <w:numPr>
          <w:ilvl w:val="0"/>
          <w:numId w:val="6"/>
        </w:numPr>
        <w:jc w:val="both"/>
        <w:rPr>
          <w:rFonts w:cs="TT222t00"/>
        </w:rPr>
      </w:pPr>
      <w:r w:rsidRPr="00F931EF">
        <w:rPr>
          <w:rFonts w:cs="TT222t00"/>
        </w:rPr>
        <w:t xml:space="preserve">Any </w:t>
      </w:r>
      <w:r w:rsidR="006D5505">
        <w:rPr>
          <w:rFonts w:cs="TT222t00"/>
        </w:rPr>
        <w:t xml:space="preserve">Pension or OPEB </w:t>
      </w:r>
      <w:r>
        <w:rPr>
          <w:rFonts w:cs="TT222t00"/>
        </w:rPr>
        <w:t xml:space="preserve">Trust </w:t>
      </w:r>
      <w:r w:rsidR="00D80EB2">
        <w:rPr>
          <w:rFonts w:cs="TT222t00"/>
        </w:rPr>
        <w:t xml:space="preserve">over which the government has a fiduciary responsibility </w:t>
      </w:r>
      <w:r w:rsidRPr="002D5A03">
        <w:rPr>
          <w:rFonts w:cs="TT222t00"/>
          <w:b/>
        </w:rPr>
        <w:t>should be audited</w:t>
      </w:r>
      <w:r w:rsidRPr="00F931EF">
        <w:rPr>
          <w:rFonts w:cs="TT222t00"/>
        </w:rPr>
        <w:t>.</w:t>
      </w:r>
    </w:p>
    <w:p w:rsidR="00E35F8B" w:rsidRDefault="00E35F8B" w:rsidP="00F931EF">
      <w:pPr>
        <w:pStyle w:val="ListParagraph"/>
        <w:numPr>
          <w:ilvl w:val="0"/>
          <w:numId w:val="6"/>
        </w:numPr>
        <w:spacing w:after="160" w:line="259" w:lineRule="auto"/>
        <w:jc w:val="both"/>
        <w:rPr>
          <w:rFonts w:cs="TT222t00"/>
        </w:rPr>
      </w:pPr>
      <w:r>
        <w:rPr>
          <w:rFonts w:cs="TT222t00"/>
        </w:rPr>
        <w:t xml:space="preserve">The new Exposure Draft makes it </w:t>
      </w:r>
      <w:r w:rsidR="009745FA">
        <w:rPr>
          <w:rFonts w:cs="TT222t00"/>
        </w:rPr>
        <w:t>clear</w:t>
      </w:r>
      <w:r>
        <w:rPr>
          <w:rFonts w:cs="TT222t00"/>
        </w:rPr>
        <w:t xml:space="preserve"> that stand-alone financial statements of </w:t>
      </w:r>
      <w:r w:rsidRPr="006A7207">
        <w:rPr>
          <w:rFonts w:cs="TT222t00"/>
          <w:u w:val="single"/>
        </w:rPr>
        <w:t>business-</w:t>
      </w:r>
      <w:r w:rsidR="003F1C88" w:rsidRPr="006A7207">
        <w:rPr>
          <w:rFonts w:cs="TT222t00"/>
          <w:u w:val="single"/>
        </w:rPr>
        <w:t>type activities</w:t>
      </w:r>
      <w:r w:rsidR="003F1C88">
        <w:rPr>
          <w:rFonts w:cs="TT222t00"/>
        </w:rPr>
        <w:t xml:space="preserve"> should include </w:t>
      </w:r>
      <w:r w:rsidR="005E4AC5">
        <w:rPr>
          <w:rFonts w:cs="TT222t00"/>
        </w:rPr>
        <w:t>resources over</w:t>
      </w:r>
      <w:r>
        <w:rPr>
          <w:rFonts w:cs="TT222t00"/>
        </w:rPr>
        <w:t xml:space="preserve"> which the business-type activity has a fiduciary responsibility.</w:t>
      </w:r>
    </w:p>
    <w:p w:rsidR="00313187" w:rsidRDefault="00313187" w:rsidP="00313187">
      <w:pPr>
        <w:pStyle w:val="ListParagraph"/>
        <w:numPr>
          <w:ilvl w:val="0"/>
          <w:numId w:val="6"/>
        </w:numPr>
        <w:spacing w:after="160" w:line="259" w:lineRule="auto"/>
        <w:jc w:val="both"/>
        <w:rPr>
          <w:rFonts w:cs="TT222t00"/>
        </w:rPr>
      </w:pPr>
      <w:r>
        <w:rPr>
          <w:rFonts w:cs="TT222t00"/>
        </w:rPr>
        <w:t xml:space="preserve">CPA Firms should obtain and read plan agreements and document those agreements in their working papers.  In some cases the plan agreements will be quite old.  The older the agreement, the more likely there will be some measure of administrative </w:t>
      </w:r>
      <w:r w:rsidR="00713A52">
        <w:rPr>
          <w:rFonts w:cs="TT222t00"/>
        </w:rPr>
        <w:t>and/</w:t>
      </w:r>
      <w:r>
        <w:rPr>
          <w:rFonts w:cs="TT222t00"/>
        </w:rPr>
        <w:t>or physical control.</w:t>
      </w:r>
    </w:p>
    <w:p w:rsidR="008449C7" w:rsidRPr="002D5A03" w:rsidRDefault="002D5A03" w:rsidP="002D5A03">
      <w:pPr>
        <w:pStyle w:val="ListParagraph"/>
        <w:numPr>
          <w:ilvl w:val="0"/>
          <w:numId w:val="6"/>
        </w:numPr>
        <w:spacing w:after="160" w:line="259" w:lineRule="auto"/>
        <w:jc w:val="both"/>
        <w:rPr>
          <w:rFonts w:cs="TT222t00"/>
        </w:rPr>
      </w:pPr>
      <w:r w:rsidRPr="002D5A03">
        <w:t>Nothing in a-</w:t>
      </w:r>
      <w:r>
        <w:t>e</w:t>
      </w:r>
      <w:r w:rsidRPr="002D5A03">
        <w:t xml:space="preserve"> above is intended to prevent separate reporting for a Government and its Pension Plan (i.e. Trust Fund).  However, if a report does not include all required funds, the Independent Auditor’s Report would need to address the departure from GAAP (e.g., qualified opinion if necessary). </w:t>
      </w:r>
    </w:p>
    <w:p w:rsidR="00160783" w:rsidRDefault="00160783" w:rsidP="008449C7">
      <w:pPr>
        <w:pStyle w:val="ListParagraph"/>
        <w:spacing w:after="160" w:line="259" w:lineRule="auto"/>
        <w:ind w:left="1080"/>
        <w:jc w:val="both"/>
        <w:rPr>
          <w:rFonts w:cs="TT222t00"/>
        </w:rPr>
      </w:pPr>
    </w:p>
    <w:p w:rsidR="00160783" w:rsidRDefault="00160783" w:rsidP="008449C7">
      <w:pPr>
        <w:pStyle w:val="ListParagraph"/>
        <w:spacing w:after="160" w:line="259" w:lineRule="auto"/>
        <w:ind w:left="1080"/>
        <w:jc w:val="both"/>
        <w:rPr>
          <w:rFonts w:cs="TT222t00"/>
        </w:rPr>
      </w:pPr>
    </w:p>
    <w:p w:rsidR="00160783" w:rsidRDefault="00160783" w:rsidP="008449C7">
      <w:pPr>
        <w:pStyle w:val="ListParagraph"/>
        <w:spacing w:after="160" w:line="259" w:lineRule="auto"/>
        <w:ind w:left="1080"/>
        <w:jc w:val="both"/>
        <w:rPr>
          <w:rFonts w:cs="TT222t00"/>
        </w:rPr>
      </w:pPr>
    </w:p>
    <w:p w:rsidR="00160783" w:rsidRDefault="00160783" w:rsidP="008449C7">
      <w:pPr>
        <w:pStyle w:val="ListParagraph"/>
        <w:spacing w:after="160" w:line="259" w:lineRule="auto"/>
        <w:ind w:left="1080"/>
        <w:jc w:val="both"/>
        <w:rPr>
          <w:rFonts w:cs="TT222t00"/>
        </w:rPr>
      </w:pPr>
    </w:p>
    <w:p w:rsidR="00160783" w:rsidRDefault="00160783" w:rsidP="008449C7">
      <w:pPr>
        <w:pStyle w:val="ListParagraph"/>
        <w:spacing w:after="160" w:line="259" w:lineRule="auto"/>
        <w:ind w:left="1080"/>
        <w:jc w:val="both"/>
        <w:rPr>
          <w:rFonts w:cs="TT222t00"/>
        </w:rPr>
      </w:pPr>
    </w:p>
    <w:p w:rsidR="00160783" w:rsidRDefault="00160783" w:rsidP="008449C7">
      <w:pPr>
        <w:pStyle w:val="ListParagraph"/>
        <w:spacing w:after="160" w:line="259" w:lineRule="auto"/>
        <w:ind w:left="1080"/>
        <w:jc w:val="both"/>
        <w:rPr>
          <w:rFonts w:cs="TT222t00"/>
        </w:rPr>
      </w:pPr>
    </w:p>
    <w:p w:rsidR="00160783" w:rsidRDefault="00160783" w:rsidP="008449C7">
      <w:pPr>
        <w:pStyle w:val="ListParagraph"/>
        <w:spacing w:after="160" w:line="259" w:lineRule="auto"/>
        <w:ind w:left="1080"/>
        <w:jc w:val="both"/>
        <w:rPr>
          <w:rFonts w:cs="TT222t00"/>
        </w:rPr>
      </w:pPr>
    </w:p>
    <w:p w:rsidR="00160783" w:rsidRDefault="00160783" w:rsidP="008449C7">
      <w:pPr>
        <w:pStyle w:val="ListParagraph"/>
        <w:spacing w:after="160" w:line="259" w:lineRule="auto"/>
        <w:ind w:left="1080"/>
        <w:jc w:val="both"/>
        <w:rPr>
          <w:rFonts w:cs="TT222t00"/>
        </w:rPr>
      </w:pPr>
    </w:p>
    <w:p w:rsidR="00160783" w:rsidRDefault="00160783" w:rsidP="008449C7">
      <w:pPr>
        <w:pStyle w:val="ListParagraph"/>
        <w:spacing w:after="160" w:line="259" w:lineRule="auto"/>
        <w:ind w:left="1080"/>
        <w:jc w:val="both"/>
        <w:rPr>
          <w:rFonts w:cs="TT222t00"/>
        </w:rPr>
      </w:pPr>
    </w:p>
    <w:p w:rsidR="00160783" w:rsidRDefault="00160783" w:rsidP="008449C7">
      <w:pPr>
        <w:pStyle w:val="ListParagraph"/>
        <w:spacing w:after="160" w:line="259" w:lineRule="auto"/>
        <w:ind w:left="1080"/>
        <w:jc w:val="both"/>
        <w:rPr>
          <w:rFonts w:cs="TT222t00"/>
        </w:rPr>
      </w:pPr>
    </w:p>
    <w:p w:rsidR="00160783" w:rsidRPr="00313187" w:rsidRDefault="00160783" w:rsidP="008449C7">
      <w:pPr>
        <w:pStyle w:val="ListParagraph"/>
        <w:spacing w:after="160" w:line="259" w:lineRule="auto"/>
        <w:ind w:left="1080"/>
        <w:jc w:val="both"/>
        <w:rPr>
          <w:rFonts w:cs="TT222t00"/>
        </w:rPr>
      </w:pPr>
    </w:p>
    <w:p w:rsidR="00313187" w:rsidRPr="00693981" w:rsidRDefault="008449C7" w:rsidP="00FE107D">
      <w:pPr>
        <w:pStyle w:val="ListParagraph"/>
        <w:numPr>
          <w:ilvl w:val="0"/>
          <w:numId w:val="8"/>
        </w:numPr>
        <w:spacing w:after="160" w:line="259" w:lineRule="auto"/>
        <w:jc w:val="both"/>
        <w:rPr>
          <w:rFonts w:cs="TT222t00"/>
          <w:b/>
        </w:rPr>
      </w:pPr>
      <w:r w:rsidRPr="00693981">
        <w:rPr>
          <w:rFonts w:cs="TT222t00"/>
          <w:b/>
        </w:rPr>
        <w:t xml:space="preserve">Audits are performed </w:t>
      </w:r>
      <w:r w:rsidR="00E56CEE" w:rsidRPr="00693981">
        <w:rPr>
          <w:rFonts w:cs="TT222t00"/>
          <w:b/>
        </w:rPr>
        <w:t xml:space="preserve">for </w:t>
      </w:r>
      <w:r w:rsidRPr="00693981">
        <w:rPr>
          <w:rFonts w:cs="TT222t00"/>
          <w:b/>
        </w:rPr>
        <w:t>a fund (e.g. a utility fund) of a government, but financial statements are separately issued for the (utility) fund.</w:t>
      </w:r>
    </w:p>
    <w:p w:rsidR="0081619C" w:rsidRDefault="0081619C" w:rsidP="0081619C">
      <w:pPr>
        <w:pStyle w:val="ListParagraph"/>
        <w:numPr>
          <w:ilvl w:val="1"/>
          <w:numId w:val="8"/>
        </w:numPr>
        <w:spacing w:after="160" w:line="259" w:lineRule="auto"/>
        <w:jc w:val="both"/>
        <w:rPr>
          <w:rFonts w:cs="TT222t00"/>
        </w:rPr>
      </w:pPr>
      <w:r>
        <w:rPr>
          <w:rFonts w:cs="TT222t00"/>
        </w:rPr>
        <w:t xml:space="preserve">The </w:t>
      </w:r>
      <w:r w:rsidR="002D5A03" w:rsidRPr="0081619C">
        <w:rPr>
          <w:rFonts w:cs="TT222t00"/>
          <w:i/>
        </w:rPr>
        <w:t>Fiduciary Activities</w:t>
      </w:r>
      <w:r w:rsidR="002D5A03">
        <w:rPr>
          <w:rFonts w:cs="TT222t00"/>
        </w:rPr>
        <w:t xml:space="preserve"> </w:t>
      </w:r>
      <w:r>
        <w:rPr>
          <w:rFonts w:cs="TT222t00"/>
        </w:rPr>
        <w:t xml:space="preserve">Exposure Draft does not address </w:t>
      </w:r>
      <w:r w:rsidR="00E56CEE">
        <w:rPr>
          <w:rFonts w:cs="TT222t00"/>
        </w:rPr>
        <w:t>a</w:t>
      </w:r>
      <w:r>
        <w:rPr>
          <w:rFonts w:cs="TT222t00"/>
        </w:rPr>
        <w:t xml:space="preserve"> situation where stand-alone financial statements are issu</w:t>
      </w:r>
      <w:r w:rsidR="00693981">
        <w:rPr>
          <w:rFonts w:cs="TT222t00"/>
        </w:rPr>
        <w:t>ed for a fund of the government according to GASB staff.</w:t>
      </w:r>
    </w:p>
    <w:p w:rsidR="0081619C" w:rsidRDefault="0081619C" w:rsidP="0081619C">
      <w:pPr>
        <w:pStyle w:val="ListParagraph"/>
        <w:numPr>
          <w:ilvl w:val="1"/>
          <w:numId w:val="8"/>
        </w:numPr>
        <w:spacing w:after="160" w:line="259" w:lineRule="auto"/>
        <w:jc w:val="both"/>
        <w:rPr>
          <w:rFonts w:cs="TT222t00"/>
        </w:rPr>
      </w:pPr>
      <w:r>
        <w:rPr>
          <w:rFonts w:cs="TT222t00"/>
        </w:rPr>
        <w:t xml:space="preserve">GASB has not established GAAP for reporting of stand-alone financial statements for </w:t>
      </w:r>
      <w:r w:rsidR="006B72E9">
        <w:rPr>
          <w:rFonts w:cs="TT222t00"/>
        </w:rPr>
        <w:t xml:space="preserve">individual </w:t>
      </w:r>
      <w:r>
        <w:rPr>
          <w:rFonts w:cs="TT222t00"/>
        </w:rPr>
        <w:t>government funds</w:t>
      </w:r>
      <w:r w:rsidR="00A83967">
        <w:rPr>
          <w:rFonts w:cs="TT222t00"/>
        </w:rPr>
        <w:t xml:space="preserve"> whether governmental or proprietary fund types</w:t>
      </w:r>
      <w:r>
        <w:rPr>
          <w:rFonts w:cs="TT222t00"/>
        </w:rPr>
        <w:t>.</w:t>
      </w:r>
      <w:r w:rsidR="001D59BD">
        <w:rPr>
          <w:rFonts w:cs="TT222t00"/>
        </w:rPr>
        <w:t xml:space="preserve">  The AICPA </w:t>
      </w:r>
      <w:r w:rsidR="001D59BD" w:rsidRPr="00D11B3C">
        <w:rPr>
          <w:rFonts w:cs="TT222t00"/>
          <w:i/>
        </w:rPr>
        <w:t xml:space="preserve">State and Local Governments Audit </w:t>
      </w:r>
      <w:r w:rsidR="00D11B3C" w:rsidRPr="00D11B3C">
        <w:rPr>
          <w:rFonts w:cs="TT222t00"/>
          <w:i/>
        </w:rPr>
        <w:t xml:space="preserve">and Accounting </w:t>
      </w:r>
      <w:r w:rsidR="001D59BD" w:rsidRPr="00D11B3C">
        <w:rPr>
          <w:rFonts w:cs="TT222t00"/>
          <w:i/>
        </w:rPr>
        <w:t>Guide</w:t>
      </w:r>
      <w:r w:rsidR="00B41207">
        <w:rPr>
          <w:rFonts w:cs="TT222t00"/>
        </w:rPr>
        <w:t xml:space="preserve"> (SLA</w:t>
      </w:r>
      <w:r w:rsidR="00D11B3C">
        <w:rPr>
          <w:rFonts w:cs="TT222t00"/>
        </w:rPr>
        <w:t>A</w:t>
      </w:r>
      <w:r w:rsidR="00B41207">
        <w:rPr>
          <w:rFonts w:cs="TT222t00"/>
        </w:rPr>
        <w:t>G)</w:t>
      </w:r>
      <w:r w:rsidR="001D59BD">
        <w:rPr>
          <w:rFonts w:cs="TT222t00"/>
        </w:rPr>
        <w:t xml:space="preserve"> provides guidance to auditors who present stand-alone financial statements for an individual fund of a government</w:t>
      </w:r>
      <w:r w:rsidR="00B41207">
        <w:rPr>
          <w:rFonts w:cs="TT222t00"/>
        </w:rPr>
        <w:t xml:space="preserve"> (Paragraphs 15.87 through 15.90)</w:t>
      </w:r>
      <w:r w:rsidR="001D59BD">
        <w:rPr>
          <w:rFonts w:cs="TT222t00"/>
        </w:rPr>
        <w:t>.</w:t>
      </w:r>
      <w:r w:rsidR="00B41207">
        <w:rPr>
          <w:rFonts w:cs="TT222t00"/>
        </w:rPr>
        <w:t xml:space="preserve">  The footnote to paragraph 15.87 states that GASB did not clear this guidance.</w:t>
      </w:r>
    </w:p>
    <w:p w:rsidR="007B306F" w:rsidRDefault="00B41207" w:rsidP="0081619C">
      <w:pPr>
        <w:pStyle w:val="ListParagraph"/>
        <w:numPr>
          <w:ilvl w:val="1"/>
          <w:numId w:val="8"/>
        </w:numPr>
        <w:spacing w:after="160" w:line="259" w:lineRule="auto"/>
        <w:jc w:val="both"/>
        <w:rPr>
          <w:rFonts w:cs="TT222t00"/>
        </w:rPr>
      </w:pPr>
      <w:r>
        <w:rPr>
          <w:rFonts w:cs="TT222t00"/>
        </w:rPr>
        <w:t>The import of the guidance in the SLA</w:t>
      </w:r>
      <w:r w:rsidR="00D11B3C">
        <w:rPr>
          <w:rFonts w:cs="TT222t00"/>
        </w:rPr>
        <w:t>A</w:t>
      </w:r>
      <w:r>
        <w:rPr>
          <w:rFonts w:cs="TT222t00"/>
        </w:rPr>
        <w:t xml:space="preserve">G is that practitioners should apply all </w:t>
      </w:r>
      <w:r w:rsidRPr="00D978C5">
        <w:rPr>
          <w:rFonts w:cs="TT222t00"/>
          <w:u w:val="single"/>
        </w:rPr>
        <w:t>relevant</w:t>
      </w:r>
      <w:r>
        <w:rPr>
          <w:rFonts w:cs="TT222t00"/>
        </w:rPr>
        <w:t xml:space="preserve"> GAAP when presenting stand-alone fund financial statements.  </w:t>
      </w:r>
    </w:p>
    <w:p w:rsidR="00B41207" w:rsidRDefault="00B41207" w:rsidP="0081619C">
      <w:pPr>
        <w:pStyle w:val="ListParagraph"/>
        <w:numPr>
          <w:ilvl w:val="1"/>
          <w:numId w:val="8"/>
        </w:numPr>
        <w:spacing w:after="160" w:line="259" w:lineRule="auto"/>
        <w:jc w:val="both"/>
        <w:rPr>
          <w:rFonts w:cs="TT222t00"/>
        </w:rPr>
      </w:pPr>
      <w:r>
        <w:rPr>
          <w:rFonts w:cs="TT222t00"/>
        </w:rPr>
        <w:t xml:space="preserve">It is the Division’s judgment that </w:t>
      </w:r>
      <w:r w:rsidR="00EC137C" w:rsidRPr="00D978C5">
        <w:rPr>
          <w:rFonts w:cs="TT222t00"/>
          <w:u w:val="single"/>
        </w:rPr>
        <w:t>relevant</w:t>
      </w:r>
      <w:r w:rsidR="00EC137C">
        <w:rPr>
          <w:rFonts w:cs="TT222t00"/>
        </w:rPr>
        <w:t xml:space="preserve"> </w:t>
      </w:r>
      <w:r w:rsidR="00771B4A">
        <w:rPr>
          <w:rFonts w:cs="TT222t00"/>
        </w:rPr>
        <w:t xml:space="preserve">GAAP would require including all resources over which </w:t>
      </w:r>
      <w:r w:rsidR="00682082">
        <w:rPr>
          <w:rFonts w:cs="TT222t00"/>
        </w:rPr>
        <w:t>the government</w:t>
      </w:r>
      <w:r w:rsidR="00771B4A">
        <w:rPr>
          <w:rFonts w:cs="TT222t00"/>
        </w:rPr>
        <w:t xml:space="preserve"> has a fiduciary responsibility.</w:t>
      </w:r>
      <w:r w:rsidR="00DE12F5">
        <w:rPr>
          <w:rFonts w:cs="TT222t00"/>
        </w:rPr>
        <w:t xml:space="preserve">  The most obvious example would be that of a utility fund of a local government </w:t>
      </w:r>
      <w:r w:rsidR="00D978C5">
        <w:rPr>
          <w:rFonts w:cs="TT222t00"/>
        </w:rPr>
        <w:t xml:space="preserve">that has a private pension plan, </w:t>
      </w:r>
      <w:r w:rsidR="00DE12F5">
        <w:rPr>
          <w:rFonts w:cs="TT222t00"/>
        </w:rPr>
        <w:t>is separately audited</w:t>
      </w:r>
      <w:r w:rsidR="00D978C5">
        <w:rPr>
          <w:rFonts w:cs="TT222t00"/>
        </w:rPr>
        <w:t>,</w:t>
      </w:r>
      <w:r w:rsidR="00DE12F5">
        <w:rPr>
          <w:rFonts w:cs="TT222t00"/>
        </w:rPr>
        <w:t xml:space="preserve"> and </w:t>
      </w:r>
      <w:r w:rsidR="00BE3220">
        <w:rPr>
          <w:rFonts w:cs="TT222t00"/>
        </w:rPr>
        <w:t xml:space="preserve">issues </w:t>
      </w:r>
      <w:r w:rsidR="00DE12F5">
        <w:rPr>
          <w:rFonts w:cs="TT222t00"/>
        </w:rPr>
        <w:t xml:space="preserve">stand-alone </w:t>
      </w:r>
      <w:r w:rsidR="006B72E9">
        <w:rPr>
          <w:rFonts w:cs="TT222t00"/>
        </w:rPr>
        <w:t xml:space="preserve">fund </w:t>
      </w:r>
      <w:r w:rsidR="00DE12F5">
        <w:rPr>
          <w:rFonts w:cs="TT222t00"/>
        </w:rPr>
        <w:t>financial statements</w:t>
      </w:r>
      <w:r w:rsidR="00BE3220">
        <w:rPr>
          <w:rFonts w:cs="TT222t00"/>
        </w:rPr>
        <w:t>.</w:t>
      </w:r>
    </w:p>
    <w:p w:rsidR="005C70CD" w:rsidRDefault="00DE12F5" w:rsidP="0081619C">
      <w:pPr>
        <w:pStyle w:val="ListParagraph"/>
        <w:numPr>
          <w:ilvl w:val="1"/>
          <w:numId w:val="8"/>
        </w:numPr>
        <w:spacing w:after="160" w:line="259" w:lineRule="auto"/>
        <w:jc w:val="both"/>
        <w:rPr>
          <w:rFonts w:cs="TT222t00"/>
        </w:rPr>
      </w:pPr>
      <w:r>
        <w:rPr>
          <w:rFonts w:cs="TT222t00"/>
        </w:rPr>
        <w:t xml:space="preserve">Assume the following facts:  A local government operates a utility as a fund of the government.  The utility fund is separately audited and stand-alone financial statements are issued for the utility fund.  </w:t>
      </w:r>
      <w:r w:rsidR="00EE513E">
        <w:rPr>
          <w:rFonts w:cs="TT222t00"/>
        </w:rPr>
        <w:t xml:space="preserve">The utility has a </w:t>
      </w:r>
      <w:r w:rsidR="00682082">
        <w:rPr>
          <w:rFonts w:cs="TT222t00"/>
        </w:rPr>
        <w:t xml:space="preserve">private </w:t>
      </w:r>
      <w:r w:rsidR="00EE513E">
        <w:rPr>
          <w:rFonts w:cs="TT222t00"/>
        </w:rPr>
        <w:t>pension plan</w:t>
      </w:r>
      <w:r w:rsidR="00771B4A">
        <w:rPr>
          <w:rFonts w:cs="TT222t00"/>
        </w:rPr>
        <w:t xml:space="preserve"> </w:t>
      </w:r>
      <w:r w:rsidR="00AE3CF5">
        <w:rPr>
          <w:rFonts w:cs="TT222t00"/>
        </w:rPr>
        <w:t xml:space="preserve">(i.e. Trust) </w:t>
      </w:r>
      <w:r w:rsidR="00682082">
        <w:rPr>
          <w:rFonts w:cs="TT222t00"/>
        </w:rPr>
        <w:t xml:space="preserve">that is </w:t>
      </w:r>
      <w:r>
        <w:rPr>
          <w:rFonts w:cs="TT222t00"/>
        </w:rPr>
        <w:t xml:space="preserve">directly associated with the operations of the </w:t>
      </w:r>
      <w:r w:rsidR="00682082">
        <w:rPr>
          <w:rFonts w:cs="TT222t00"/>
        </w:rPr>
        <w:t>utility</w:t>
      </w:r>
      <w:r>
        <w:rPr>
          <w:rFonts w:cs="TT222t00"/>
        </w:rPr>
        <w:t xml:space="preserve"> and over which </w:t>
      </w:r>
      <w:r w:rsidR="008F7DC5">
        <w:rPr>
          <w:rFonts w:cs="TT222t00"/>
        </w:rPr>
        <w:t xml:space="preserve">the governing body (e.g. city council), </w:t>
      </w:r>
      <w:r>
        <w:rPr>
          <w:rFonts w:cs="TT222t00"/>
        </w:rPr>
        <w:t>management</w:t>
      </w:r>
      <w:r w:rsidR="008F7DC5">
        <w:rPr>
          <w:rFonts w:cs="TT222t00"/>
        </w:rPr>
        <w:t>,</w:t>
      </w:r>
      <w:r>
        <w:rPr>
          <w:rFonts w:cs="TT222t00"/>
        </w:rPr>
        <w:t xml:space="preserve"> or a </w:t>
      </w:r>
      <w:r w:rsidR="008F7DC5">
        <w:rPr>
          <w:rFonts w:cs="TT222t00"/>
        </w:rPr>
        <w:t xml:space="preserve">separate </w:t>
      </w:r>
      <w:r>
        <w:rPr>
          <w:rFonts w:cs="TT222t00"/>
        </w:rPr>
        <w:t xml:space="preserve">board of directors has administrative </w:t>
      </w:r>
      <w:r w:rsidR="006B0B39">
        <w:rPr>
          <w:rFonts w:cs="TT222t00"/>
        </w:rPr>
        <w:t>and/</w:t>
      </w:r>
      <w:r>
        <w:rPr>
          <w:rFonts w:cs="TT222t00"/>
        </w:rPr>
        <w:t>or physical control</w:t>
      </w:r>
      <w:r w:rsidR="00AE3CF5">
        <w:rPr>
          <w:rFonts w:cs="TT222t00"/>
        </w:rPr>
        <w:t xml:space="preserve"> of the Plan’s assets</w:t>
      </w:r>
      <w:r w:rsidR="00682082">
        <w:rPr>
          <w:rFonts w:cs="TT222t00"/>
        </w:rPr>
        <w:t xml:space="preserve">. </w:t>
      </w:r>
      <w:r w:rsidR="00AE3CF5">
        <w:rPr>
          <w:rFonts w:cs="TT222t00"/>
        </w:rPr>
        <w:t xml:space="preserve">The </w:t>
      </w:r>
      <w:r w:rsidR="00FC58CC">
        <w:rPr>
          <w:rFonts w:cs="TT222t00"/>
        </w:rPr>
        <w:t xml:space="preserve">Plan </w:t>
      </w:r>
      <w:r w:rsidR="00AE3CF5">
        <w:rPr>
          <w:rFonts w:cs="TT222t00"/>
        </w:rPr>
        <w:t xml:space="preserve">Trust should be reported as part of the financial statements of the utility when stand-alone </w:t>
      </w:r>
      <w:r w:rsidR="00D11B3C">
        <w:rPr>
          <w:rFonts w:cs="TT222t00"/>
        </w:rPr>
        <w:t xml:space="preserve">fund </w:t>
      </w:r>
      <w:r w:rsidR="00AE3CF5">
        <w:rPr>
          <w:rFonts w:cs="TT222t00"/>
        </w:rPr>
        <w:t>financial statements are published</w:t>
      </w:r>
      <w:r w:rsidR="006B72E9">
        <w:rPr>
          <w:rFonts w:cs="TT222t00"/>
        </w:rPr>
        <w:t xml:space="preserve"> since t</w:t>
      </w:r>
      <w:r w:rsidR="00AE3CF5">
        <w:rPr>
          <w:rFonts w:cs="TT222t00"/>
        </w:rPr>
        <w:t xml:space="preserve">his is </w:t>
      </w:r>
      <w:r w:rsidR="00D56FC8">
        <w:rPr>
          <w:rFonts w:cs="TT222t00"/>
        </w:rPr>
        <w:t xml:space="preserve">GAAP for business-type activities according to </w:t>
      </w:r>
      <w:r w:rsidR="00AE3CF5">
        <w:rPr>
          <w:rFonts w:cs="TT222t00"/>
        </w:rPr>
        <w:t xml:space="preserve">the new </w:t>
      </w:r>
      <w:r w:rsidR="002D5A03" w:rsidRPr="005C70CD">
        <w:rPr>
          <w:rFonts w:cs="TT222t00"/>
          <w:i/>
        </w:rPr>
        <w:t>Fiduciary Activities</w:t>
      </w:r>
      <w:r w:rsidR="002D5A03">
        <w:rPr>
          <w:rFonts w:cs="TT222t00"/>
        </w:rPr>
        <w:t xml:space="preserve"> </w:t>
      </w:r>
      <w:r w:rsidR="00AE3CF5">
        <w:rPr>
          <w:rFonts w:cs="TT222t00"/>
        </w:rPr>
        <w:t>Exposure Draft</w:t>
      </w:r>
      <w:r w:rsidR="005C70CD">
        <w:rPr>
          <w:rFonts w:cs="TT222t00"/>
        </w:rPr>
        <w:t>.</w:t>
      </w:r>
      <w:r w:rsidR="001D34FB">
        <w:rPr>
          <w:rFonts w:cs="TT222t00"/>
        </w:rPr>
        <w:t xml:space="preserve">  </w:t>
      </w:r>
      <w:r w:rsidR="006B72E9">
        <w:rPr>
          <w:rFonts w:cs="TT222t00"/>
        </w:rPr>
        <w:t>Based on</w:t>
      </w:r>
      <w:r w:rsidR="00D56FC8">
        <w:rPr>
          <w:rFonts w:cs="TT222t00"/>
        </w:rPr>
        <w:t xml:space="preserve"> the SLA</w:t>
      </w:r>
      <w:r w:rsidR="00D11B3C">
        <w:rPr>
          <w:rFonts w:cs="TT222t00"/>
        </w:rPr>
        <w:t>A</w:t>
      </w:r>
      <w:r w:rsidR="00D56FC8">
        <w:rPr>
          <w:rFonts w:cs="TT222t00"/>
        </w:rPr>
        <w:t>G guidance</w:t>
      </w:r>
      <w:r w:rsidR="00A32F85">
        <w:rPr>
          <w:rFonts w:cs="TT222t00"/>
        </w:rPr>
        <w:t xml:space="preserve"> above</w:t>
      </w:r>
      <w:r w:rsidR="00D56FC8">
        <w:rPr>
          <w:rFonts w:cs="TT222t00"/>
        </w:rPr>
        <w:t xml:space="preserve">, this would become </w:t>
      </w:r>
      <w:r w:rsidR="006B0B39">
        <w:rPr>
          <w:rFonts w:cs="TT222t00"/>
        </w:rPr>
        <w:t xml:space="preserve">relevant </w:t>
      </w:r>
      <w:r w:rsidR="00D56FC8">
        <w:rPr>
          <w:rFonts w:cs="TT222t00"/>
        </w:rPr>
        <w:t xml:space="preserve">GAAP for stand-alone </w:t>
      </w:r>
      <w:r w:rsidR="00A32F85">
        <w:rPr>
          <w:rFonts w:cs="TT222t00"/>
        </w:rPr>
        <w:t xml:space="preserve">business-type </w:t>
      </w:r>
      <w:r w:rsidR="000217F4" w:rsidRPr="00A32F85">
        <w:rPr>
          <w:rFonts w:cs="TT222t00"/>
          <w:u w:val="single"/>
        </w:rPr>
        <w:t>fund</w:t>
      </w:r>
      <w:r w:rsidR="000217F4">
        <w:rPr>
          <w:rFonts w:cs="TT222t00"/>
        </w:rPr>
        <w:t xml:space="preserve"> </w:t>
      </w:r>
      <w:r w:rsidR="00D56FC8">
        <w:rPr>
          <w:rFonts w:cs="TT222t00"/>
        </w:rPr>
        <w:t>financial statements</w:t>
      </w:r>
      <w:r w:rsidR="000217F4">
        <w:rPr>
          <w:rFonts w:cs="TT222t00"/>
        </w:rPr>
        <w:t>.</w:t>
      </w:r>
    </w:p>
    <w:p w:rsidR="001D34FB" w:rsidRDefault="001D34FB" w:rsidP="001D34FB">
      <w:pPr>
        <w:pStyle w:val="ListParagraph"/>
        <w:numPr>
          <w:ilvl w:val="1"/>
          <w:numId w:val="8"/>
        </w:numPr>
        <w:spacing w:after="160" w:line="259" w:lineRule="auto"/>
        <w:jc w:val="both"/>
        <w:rPr>
          <w:rFonts w:cs="TT222t00"/>
        </w:rPr>
      </w:pPr>
      <w:r>
        <w:rPr>
          <w:rFonts w:cs="TT222t00"/>
        </w:rPr>
        <w:t xml:space="preserve">CPA Firms should obtain and read plan agreements and document those agreements in their working papers.  In some cases the plan agreements will be quite old.  The older the agreement, the more likely there will be some measure of administrative </w:t>
      </w:r>
      <w:r w:rsidR="00EB35FA">
        <w:rPr>
          <w:rFonts w:cs="TT222t00"/>
        </w:rPr>
        <w:t>and/</w:t>
      </w:r>
      <w:r>
        <w:rPr>
          <w:rFonts w:cs="TT222t00"/>
        </w:rPr>
        <w:t>or physical control.</w:t>
      </w:r>
    </w:p>
    <w:p w:rsidR="00D5791E" w:rsidRDefault="00B678F2" w:rsidP="00B678F2">
      <w:pPr>
        <w:pStyle w:val="ListParagraph"/>
        <w:numPr>
          <w:ilvl w:val="1"/>
          <w:numId w:val="8"/>
        </w:numPr>
        <w:spacing w:after="160" w:line="259" w:lineRule="auto"/>
        <w:jc w:val="both"/>
        <w:rPr>
          <w:rFonts w:cs="TT222t00"/>
        </w:rPr>
      </w:pPr>
      <w:r w:rsidRPr="00B678F2">
        <w:t>Nothing in a-f above is intended to prevent separate reporting for a Government and its Pension Plan (i.e. Trust Fund).  However, if a report does not include all required funds, the Independent Auditor’s Report would need to address the departure from GAAP (e.g., qualified opinion if necessary).</w:t>
      </w:r>
      <w:r>
        <w:rPr>
          <w:rFonts w:cs="TT222t00"/>
        </w:rPr>
        <w:t xml:space="preserve"> </w:t>
      </w:r>
    </w:p>
    <w:p w:rsidR="00A576B5" w:rsidRDefault="00A576B5" w:rsidP="0056657C">
      <w:pPr>
        <w:pStyle w:val="ListParagraph"/>
        <w:spacing w:after="160" w:line="259" w:lineRule="auto"/>
        <w:ind w:left="1440"/>
        <w:jc w:val="both"/>
        <w:rPr>
          <w:rFonts w:cs="TT222t00"/>
        </w:rPr>
      </w:pPr>
    </w:p>
    <w:p w:rsidR="00A576B5" w:rsidRDefault="00A576B5" w:rsidP="0056657C">
      <w:pPr>
        <w:pStyle w:val="ListParagraph"/>
        <w:spacing w:after="160" w:line="259" w:lineRule="auto"/>
        <w:ind w:left="1440"/>
        <w:jc w:val="both"/>
        <w:rPr>
          <w:rFonts w:cs="TT222t00"/>
        </w:rPr>
      </w:pPr>
    </w:p>
    <w:p w:rsidR="00A576B5" w:rsidRDefault="00A576B5" w:rsidP="0056657C">
      <w:pPr>
        <w:pStyle w:val="ListParagraph"/>
        <w:spacing w:after="160" w:line="259" w:lineRule="auto"/>
        <w:ind w:left="1440"/>
        <w:jc w:val="both"/>
        <w:rPr>
          <w:rFonts w:cs="TT222t00"/>
        </w:rPr>
      </w:pPr>
    </w:p>
    <w:p w:rsidR="00A576B5" w:rsidRDefault="00A576B5" w:rsidP="0056657C">
      <w:pPr>
        <w:pStyle w:val="ListParagraph"/>
        <w:spacing w:after="160" w:line="259" w:lineRule="auto"/>
        <w:ind w:left="1440"/>
        <w:jc w:val="both"/>
        <w:rPr>
          <w:rFonts w:cs="TT222t00"/>
        </w:rPr>
      </w:pPr>
    </w:p>
    <w:p w:rsidR="00A576B5" w:rsidRDefault="00A576B5" w:rsidP="0056657C">
      <w:pPr>
        <w:pStyle w:val="ListParagraph"/>
        <w:spacing w:after="160" w:line="259" w:lineRule="auto"/>
        <w:ind w:left="1440"/>
        <w:jc w:val="both"/>
        <w:rPr>
          <w:rFonts w:cs="TT222t00"/>
        </w:rPr>
      </w:pPr>
    </w:p>
    <w:p w:rsidR="00A576B5" w:rsidRDefault="00A576B5" w:rsidP="0056657C">
      <w:pPr>
        <w:pStyle w:val="ListParagraph"/>
        <w:spacing w:after="160" w:line="259" w:lineRule="auto"/>
        <w:ind w:left="1440"/>
        <w:jc w:val="both"/>
        <w:rPr>
          <w:rFonts w:cs="TT222t00"/>
        </w:rPr>
      </w:pPr>
    </w:p>
    <w:p w:rsidR="00A576B5" w:rsidRDefault="00A576B5" w:rsidP="0056657C">
      <w:pPr>
        <w:pStyle w:val="ListParagraph"/>
        <w:spacing w:after="160" w:line="259" w:lineRule="auto"/>
        <w:ind w:left="1440"/>
        <w:jc w:val="both"/>
        <w:rPr>
          <w:rFonts w:cs="TT222t00"/>
        </w:rPr>
      </w:pPr>
    </w:p>
    <w:p w:rsidR="005C70CD" w:rsidRDefault="002F6C3D" w:rsidP="005C70CD">
      <w:pPr>
        <w:pStyle w:val="ListParagraph"/>
        <w:numPr>
          <w:ilvl w:val="0"/>
          <w:numId w:val="8"/>
        </w:numPr>
        <w:spacing w:after="160" w:line="259" w:lineRule="auto"/>
        <w:jc w:val="both"/>
        <w:rPr>
          <w:b/>
          <w:szCs w:val="22"/>
        </w:rPr>
      </w:pPr>
      <w:r>
        <w:rPr>
          <w:b/>
          <w:szCs w:val="22"/>
        </w:rPr>
        <w:t xml:space="preserve">The government deposits </w:t>
      </w:r>
      <w:r w:rsidR="005C70CD" w:rsidRPr="00693981">
        <w:rPr>
          <w:b/>
          <w:szCs w:val="22"/>
        </w:rPr>
        <w:t xml:space="preserve">Trust </w:t>
      </w:r>
      <w:r w:rsidR="00EB35FA">
        <w:rPr>
          <w:b/>
          <w:szCs w:val="22"/>
        </w:rPr>
        <w:t>F</w:t>
      </w:r>
      <w:r w:rsidR="005C70CD" w:rsidRPr="00693981">
        <w:rPr>
          <w:b/>
          <w:szCs w:val="22"/>
        </w:rPr>
        <w:t>und</w:t>
      </w:r>
      <w:r w:rsidR="00160783">
        <w:rPr>
          <w:b/>
          <w:szCs w:val="22"/>
        </w:rPr>
        <w:t xml:space="preserve"> assets</w:t>
      </w:r>
      <w:r w:rsidR="005C70CD" w:rsidRPr="00693981">
        <w:rPr>
          <w:b/>
          <w:szCs w:val="22"/>
        </w:rPr>
        <w:t xml:space="preserve"> with a third party administrator or trustee</w:t>
      </w:r>
      <w:r w:rsidR="005C70CD">
        <w:rPr>
          <w:b/>
          <w:szCs w:val="22"/>
        </w:rPr>
        <w:t xml:space="preserve"> and </w:t>
      </w:r>
      <w:r w:rsidR="00522B75">
        <w:rPr>
          <w:b/>
          <w:szCs w:val="22"/>
        </w:rPr>
        <w:t xml:space="preserve">the government does </w:t>
      </w:r>
      <w:r w:rsidR="00522B75" w:rsidRPr="00522B75">
        <w:rPr>
          <w:b/>
          <w:szCs w:val="22"/>
          <w:u w:val="single"/>
        </w:rPr>
        <w:t>not</w:t>
      </w:r>
      <w:r w:rsidR="00522B75">
        <w:rPr>
          <w:b/>
          <w:szCs w:val="22"/>
        </w:rPr>
        <w:t xml:space="preserve"> have </w:t>
      </w:r>
      <w:r w:rsidR="005C70CD">
        <w:rPr>
          <w:b/>
          <w:szCs w:val="22"/>
        </w:rPr>
        <w:t xml:space="preserve">administrative </w:t>
      </w:r>
      <w:r w:rsidR="00C20F94">
        <w:rPr>
          <w:b/>
          <w:szCs w:val="22"/>
        </w:rPr>
        <w:t>and</w:t>
      </w:r>
      <w:r w:rsidR="005C70CD">
        <w:rPr>
          <w:b/>
          <w:szCs w:val="22"/>
        </w:rPr>
        <w:t xml:space="preserve"> physical control</w:t>
      </w:r>
      <w:r w:rsidR="00522B75">
        <w:rPr>
          <w:b/>
          <w:szCs w:val="22"/>
        </w:rPr>
        <w:t>:</w:t>
      </w:r>
    </w:p>
    <w:p w:rsidR="0056657C" w:rsidRDefault="0056657C" w:rsidP="0056657C">
      <w:pPr>
        <w:pStyle w:val="ListParagraph"/>
        <w:numPr>
          <w:ilvl w:val="1"/>
          <w:numId w:val="8"/>
        </w:numPr>
        <w:spacing w:after="160" w:line="259" w:lineRule="auto"/>
        <w:jc w:val="both"/>
        <w:rPr>
          <w:rFonts w:cs="TT222t00"/>
        </w:rPr>
      </w:pPr>
      <w:r>
        <w:rPr>
          <w:rFonts w:cs="TT222t00"/>
        </w:rPr>
        <w:t xml:space="preserve">Pension and OPEB Plan Trusts would </w:t>
      </w:r>
      <w:r w:rsidRPr="0056657C">
        <w:rPr>
          <w:rFonts w:cs="TT222t00"/>
          <w:u w:val="single"/>
        </w:rPr>
        <w:t>not</w:t>
      </w:r>
      <w:r>
        <w:rPr>
          <w:rFonts w:cs="TT222t00"/>
        </w:rPr>
        <w:t xml:space="preserve"> be included as fiduciary funds of the government when there is sufficient appropriate evidence demonstrating a government has relinquished administrative </w:t>
      </w:r>
      <w:r w:rsidR="00C20F94">
        <w:rPr>
          <w:rFonts w:cs="TT222t00"/>
        </w:rPr>
        <w:t>and</w:t>
      </w:r>
      <w:r>
        <w:rPr>
          <w:rFonts w:cs="TT222t00"/>
        </w:rPr>
        <w:t xml:space="preserve"> physical control over plan assets to a third party administrator or trustee.  We recommend using the </w:t>
      </w:r>
      <w:r w:rsidR="002D5A03" w:rsidRPr="00455AA6">
        <w:rPr>
          <w:rFonts w:cs="TT222t00"/>
          <w:i/>
        </w:rPr>
        <w:t>Fiduciary Activities</w:t>
      </w:r>
      <w:r w:rsidR="002D5A03">
        <w:rPr>
          <w:rFonts w:cs="TT222t00"/>
          <w:i/>
        </w:rPr>
        <w:t xml:space="preserve"> </w:t>
      </w:r>
      <w:r>
        <w:rPr>
          <w:rFonts w:cs="TT222t00"/>
        </w:rPr>
        <w:t>Exposure Draft to assist in making those decisions.</w:t>
      </w:r>
    </w:p>
    <w:p w:rsidR="00160783" w:rsidRDefault="00160783" w:rsidP="00D5791E">
      <w:pPr>
        <w:spacing w:after="160" w:line="259" w:lineRule="auto"/>
        <w:rPr>
          <w:rFonts w:cs="TT222t00"/>
          <w:b/>
          <w:u w:val="single"/>
        </w:rPr>
      </w:pPr>
    </w:p>
    <w:p w:rsidR="0056657C" w:rsidRPr="0056657C" w:rsidRDefault="00D5791E" w:rsidP="00D5791E">
      <w:pPr>
        <w:spacing w:after="160" w:line="259" w:lineRule="auto"/>
        <w:rPr>
          <w:rFonts w:cs="TT222t00"/>
          <w:b/>
          <w:u w:val="single"/>
        </w:rPr>
      </w:pPr>
      <w:r>
        <w:rPr>
          <w:rFonts w:cs="TT222t00"/>
          <w:b/>
          <w:u w:val="single"/>
        </w:rPr>
        <w:t xml:space="preserve">Proposed </w:t>
      </w:r>
      <w:r w:rsidR="00047589">
        <w:rPr>
          <w:rFonts w:cs="TT222t00"/>
          <w:b/>
          <w:u w:val="single"/>
        </w:rPr>
        <w:t>Solution</w:t>
      </w:r>
      <w:r w:rsidR="0056657C" w:rsidRPr="0056657C">
        <w:rPr>
          <w:rFonts w:cs="TT222t00"/>
          <w:b/>
          <w:u w:val="single"/>
        </w:rPr>
        <w:t xml:space="preserve"> – </w:t>
      </w:r>
      <w:r w:rsidR="0056657C">
        <w:rPr>
          <w:rFonts w:cs="TT222t00"/>
          <w:b/>
          <w:u w:val="single"/>
        </w:rPr>
        <w:t>Pension and OPEB Trust Funds</w:t>
      </w:r>
      <w:r w:rsidR="0056657C" w:rsidRPr="0056657C">
        <w:rPr>
          <w:rFonts w:cs="TT222t00"/>
          <w:b/>
          <w:u w:val="single"/>
        </w:rPr>
        <w:t>:</w:t>
      </w:r>
    </w:p>
    <w:p w:rsidR="00B678F2" w:rsidRDefault="00B678F2" w:rsidP="00B678F2">
      <w:pPr>
        <w:pStyle w:val="ListParagraph"/>
        <w:spacing w:after="160" w:line="252" w:lineRule="auto"/>
        <w:ind w:left="0"/>
        <w:jc w:val="both"/>
        <w:rPr>
          <w:b/>
          <w:bCs/>
          <w:szCs w:val="22"/>
        </w:rPr>
      </w:pPr>
      <w:r>
        <w:rPr>
          <w:b/>
          <w:bCs/>
        </w:rPr>
        <w:t xml:space="preserve">The Division believes current standards support the reporting of a fiduciary fund in the situations discussed above and </w:t>
      </w:r>
      <w:r w:rsidR="0043390E">
        <w:rPr>
          <w:b/>
          <w:bCs/>
        </w:rPr>
        <w:t xml:space="preserve">we </w:t>
      </w:r>
      <w:r>
        <w:rPr>
          <w:b/>
          <w:bCs/>
        </w:rPr>
        <w:t xml:space="preserve">may question an entity’s financial statement presentation and a CPA’s audit response in certain obvious situations.  However, the Division will continue to allow </w:t>
      </w:r>
      <w:r>
        <w:rPr>
          <w:b/>
          <w:bCs/>
          <w:u w:val="single"/>
        </w:rPr>
        <w:t>discretion</w:t>
      </w:r>
      <w:r>
        <w:rPr>
          <w:b/>
          <w:bCs/>
        </w:rPr>
        <w:t xml:space="preserve"> when making determinations about fiduciary responsibility and financial statement presentation as it relates to Pension and OPEB Trust Funds </w:t>
      </w:r>
      <w:r>
        <w:rPr>
          <w:b/>
          <w:bCs/>
          <w:u w:val="single"/>
        </w:rPr>
        <w:t>until</w:t>
      </w:r>
      <w:r>
        <w:rPr>
          <w:b/>
          <w:bCs/>
        </w:rPr>
        <w:t xml:space="preserve"> the effective date of the Exposure Draft.  Our office will </w:t>
      </w:r>
      <w:r>
        <w:rPr>
          <w:b/>
          <w:bCs/>
          <w:u w:val="single"/>
        </w:rPr>
        <w:t>not</w:t>
      </w:r>
      <w:r>
        <w:rPr>
          <w:b/>
          <w:bCs/>
        </w:rPr>
        <w:t xml:space="preserve"> require financial statements to be restated and resubmitted </w:t>
      </w:r>
      <w:r>
        <w:rPr>
          <w:b/>
          <w:bCs/>
          <w:u w:val="single"/>
        </w:rPr>
        <w:t>until</w:t>
      </w:r>
      <w:r>
        <w:rPr>
          <w:b/>
          <w:bCs/>
        </w:rPr>
        <w:t xml:space="preserve"> the </w:t>
      </w:r>
      <w:r w:rsidR="002D5A03">
        <w:rPr>
          <w:b/>
          <w:bCs/>
          <w:i/>
          <w:iCs/>
        </w:rPr>
        <w:t>Fiduciary Activities</w:t>
      </w:r>
      <w:r w:rsidR="002D5A03">
        <w:rPr>
          <w:b/>
          <w:bCs/>
        </w:rPr>
        <w:t xml:space="preserve"> </w:t>
      </w:r>
      <w:r>
        <w:rPr>
          <w:b/>
          <w:bCs/>
        </w:rPr>
        <w:t xml:space="preserve">Exposure Draft is finalized into an Accounting Standard and that Standard becomes </w:t>
      </w:r>
      <w:r>
        <w:rPr>
          <w:b/>
          <w:bCs/>
          <w:u w:val="single"/>
        </w:rPr>
        <w:t>effective</w:t>
      </w:r>
      <w:r>
        <w:rPr>
          <w:b/>
          <w:bCs/>
        </w:rPr>
        <w:t>.</w:t>
      </w:r>
    </w:p>
    <w:p w:rsidR="008414C9" w:rsidRDefault="008414C9" w:rsidP="008414C9">
      <w:pPr>
        <w:tabs>
          <w:tab w:val="left" w:pos="720"/>
          <w:tab w:val="left" w:pos="1440"/>
          <w:tab w:val="left" w:pos="2160"/>
          <w:tab w:val="left" w:pos="2880"/>
          <w:tab w:val="left" w:pos="3600"/>
          <w:tab w:val="left" w:pos="4320"/>
        </w:tabs>
        <w:jc w:val="center"/>
        <w:rPr>
          <w:b/>
          <w:szCs w:val="22"/>
          <w:u w:val="single"/>
        </w:rPr>
      </w:pPr>
      <w:r>
        <w:rPr>
          <w:b/>
          <w:szCs w:val="22"/>
          <w:u w:val="single"/>
        </w:rPr>
        <w:t>____________________________</w:t>
      </w:r>
    </w:p>
    <w:p w:rsidR="008414C9" w:rsidRDefault="008414C9" w:rsidP="00313187">
      <w:pPr>
        <w:spacing w:after="160" w:line="259" w:lineRule="auto"/>
        <w:jc w:val="both"/>
        <w:rPr>
          <w:rFonts w:cs="TT222t00"/>
        </w:rPr>
      </w:pPr>
    </w:p>
    <w:p w:rsidR="00E35F8B" w:rsidRDefault="00E35F8B" w:rsidP="00F931EF">
      <w:pPr>
        <w:jc w:val="both"/>
        <w:rPr>
          <w:rFonts w:cs="TT222t00"/>
        </w:rPr>
      </w:pPr>
      <w:r>
        <w:rPr>
          <w:rFonts w:cs="TT222t00"/>
        </w:rPr>
        <w:t>While th</w:t>
      </w:r>
      <w:r w:rsidR="008414C9">
        <w:rPr>
          <w:rFonts w:cs="TT222t00"/>
        </w:rPr>
        <w:t>ese</w:t>
      </w:r>
      <w:r>
        <w:rPr>
          <w:rFonts w:cs="TT222t00"/>
        </w:rPr>
        <w:t xml:space="preserve"> propos</w:t>
      </w:r>
      <w:r w:rsidR="008414C9">
        <w:rPr>
          <w:rFonts w:cs="TT222t00"/>
        </w:rPr>
        <w:t>ed solutions are</w:t>
      </w:r>
      <w:r>
        <w:rPr>
          <w:rFonts w:cs="TT222t00"/>
        </w:rPr>
        <w:t xml:space="preserve"> not entirely satisfactory from the viewpoint of the Division of Local Government Audit, we believe </w:t>
      </w:r>
      <w:r w:rsidR="008414C9">
        <w:rPr>
          <w:rFonts w:cs="TT222t00"/>
        </w:rPr>
        <w:t>they are</w:t>
      </w:r>
      <w:r>
        <w:rPr>
          <w:rFonts w:cs="TT222t00"/>
        </w:rPr>
        <w:t xml:space="preserve"> a reasonable approach given the admission by GASB that currently there is a lack of guidance on exactly what constitutes “fiduciary responsibility”.</w:t>
      </w:r>
      <w:r w:rsidRPr="00DC75A9">
        <w:rPr>
          <w:rFonts w:cs="TT222t00"/>
        </w:rPr>
        <w:t xml:space="preserve"> </w:t>
      </w:r>
      <w:r>
        <w:rPr>
          <w:rFonts w:cs="TT222t00"/>
        </w:rPr>
        <w:t xml:space="preserve">In addition, we </w:t>
      </w:r>
      <w:r w:rsidR="00303BF5">
        <w:rPr>
          <w:rFonts w:cs="TT222t00"/>
        </w:rPr>
        <w:t>recognize</w:t>
      </w:r>
      <w:r>
        <w:rPr>
          <w:rFonts w:cs="TT222t00"/>
        </w:rPr>
        <w:t xml:space="preserve"> that for certain governments this may entail significant planning and cost.</w:t>
      </w:r>
    </w:p>
    <w:p w:rsidR="00E35F8B" w:rsidRDefault="00E35F8B" w:rsidP="00F931EF">
      <w:pPr>
        <w:tabs>
          <w:tab w:val="left" w:pos="540"/>
        </w:tabs>
        <w:jc w:val="both"/>
        <w:rPr>
          <w:rFonts w:cs="TT222t00"/>
        </w:rPr>
      </w:pPr>
    </w:p>
    <w:p w:rsidR="00E35F8B" w:rsidRDefault="002024DA" w:rsidP="00F931EF">
      <w:pPr>
        <w:jc w:val="both"/>
        <w:rPr>
          <w:rFonts w:cs="TT222t00"/>
        </w:rPr>
      </w:pPr>
      <w:r>
        <w:rPr>
          <w:rFonts w:cs="TT222t00"/>
        </w:rPr>
        <w:t xml:space="preserve">The Division </w:t>
      </w:r>
      <w:r w:rsidR="00E35F8B">
        <w:rPr>
          <w:rFonts w:cs="TT222t00"/>
        </w:rPr>
        <w:t>realize</w:t>
      </w:r>
      <w:r>
        <w:rPr>
          <w:rFonts w:cs="TT222t00"/>
        </w:rPr>
        <w:t>s</w:t>
      </w:r>
      <w:r w:rsidR="00E35F8B">
        <w:rPr>
          <w:rFonts w:cs="TT222t00"/>
        </w:rPr>
        <w:t xml:space="preserve"> that </w:t>
      </w:r>
      <w:r w:rsidR="008414C9">
        <w:rPr>
          <w:rFonts w:cs="TT222t00"/>
        </w:rPr>
        <w:t xml:space="preserve">some </w:t>
      </w:r>
      <w:r>
        <w:rPr>
          <w:rFonts w:cs="TT222t00"/>
        </w:rPr>
        <w:t xml:space="preserve">governments and their </w:t>
      </w:r>
      <w:r w:rsidR="00E35F8B">
        <w:rPr>
          <w:rFonts w:cs="TT222t00"/>
        </w:rPr>
        <w:t xml:space="preserve">CPA Firms are already applying the concept of fiduciary responsibility when reporting </w:t>
      </w:r>
      <w:r w:rsidR="008414C9">
        <w:rPr>
          <w:rFonts w:cs="TT222t00"/>
        </w:rPr>
        <w:t>457</w:t>
      </w:r>
      <w:r w:rsidR="008813D4">
        <w:rPr>
          <w:rFonts w:cs="TT222t00"/>
        </w:rPr>
        <w:t xml:space="preserve"> Plans</w:t>
      </w:r>
      <w:r w:rsidR="008414C9">
        <w:rPr>
          <w:rFonts w:cs="TT222t00"/>
        </w:rPr>
        <w:t>, D</w:t>
      </w:r>
      <w:r w:rsidR="00E35F8B">
        <w:rPr>
          <w:rFonts w:cs="TT222t00"/>
        </w:rPr>
        <w:t>eferred</w:t>
      </w:r>
      <w:r w:rsidR="008414C9">
        <w:rPr>
          <w:rFonts w:cs="TT222t00"/>
        </w:rPr>
        <w:t xml:space="preserve"> C</w:t>
      </w:r>
      <w:r w:rsidR="00E35F8B">
        <w:rPr>
          <w:rFonts w:cs="TT222t00"/>
        </w:rPr>
        <w:t>ompensation</w:t>
      </w:r>
      <w:r w:rsidR="008813D4">
        <w:rPr>
          <w:rFonts w:cs="TT222t00"/>
        </w:rPr>
        <w:t xml:space="preserve"> Plans</w:t>
      </w:r>
      <w:r w:rsidR="008414C9">
        <w:rPr>
          <w:rFonts w:cs="TT222t00"/>
        </w:rPr>
        <w:t>, and Trust Funds</w:t>
      </w:r>
      <w:r>
        <w:rPr>
          <w:rFonts w:cs="TT222t00"/>
        </w:rPr>
        <w:t xml:space="preserve"> and these Plans are currently audited</w:t>
      </w:r>
      <w:r w:rsidR="008414C9">
        <w:rPr>
          <w:rFonts w:cs="TT222t00"/>
        </w:rPr>
        <w:t>.</w:t>
      </w:r>
      <w:r w:rsidR="00E35F8B">
        <w:rPr>
          <w:rFonts w:cs="TT222t00"/>
        </w:rPr>
        <w:t xml:space="preserve">  The Division of Local Government Audit appreciates their diligence in applying current accounting guidance. As </w:t>
      </w:r>
      <w:r w:rsidR="004F7BAC">
        <w:rPr>
          <w:rFonts w:cs="TT222t00"/>
        </w:rPr>
        <w:t>noted</w:t>
      </w:r>
      <w:r w:rsidR="00E35F8B">
        <w:rPr>
          <w:rFonts w:cs="TT222t00"/>
        </w:rPr>
        <w:t xml:space="preserve"> above, in </w:t>
      </w:r>
      <w:r w:rsidR="004F7BAC">
        <w:rPr>
          <w:rFonts w:cs="TT222t00"/>
        </w:rPr>
        <w:t xml:space="preserve">our </w:t>
      </w:r>
      <w:r w:rsidR="00E35F8B">
        <w:rPr>
          <w:rFonts w:cs="TT222t00"/>
        </w:rPr>
        <w:t xml:space="preserve">judgment, the new Exposure Draft merely interprets what </w:t>
      </w:r>
      <w:r>
        <w:rPr>
          <w:rFonts w:cs="TT222t00"/>
        </w:rPr>
        <w:t xml:space="preserve">current standards have required </w:t>
      </w:r>
      <w:r w:rsidR="00E35F8B">
        <w:rPr>
          <w:rFonts w:cs="TT222t00"/>
        </w:rPr>
        <w:t>all along.</w:t>
      </w:r>
    </w:p>
    <w:p w:rsidR="00C723E1" w:rsidRDefault="00C723E1" w:rsidP="00C723E1">
      <w:pPr>
        <w:tabs>
          <w:tab w:val="left" w:pos="720"/>
          <w:tab w:val="left" w:pos="1440"/>
          <w:tab w:val="left" w:pos="2160"/>
          <w:tab w:val="left" w:pos="2880"/>
          <w:tab w:val="left" w:pos="3600"/>
          <w:tab w:val="left" w:pos="4320"/>
        </w:tabs>
        <w:jc w:val="center"/>
        <w:rPr>
          <w:b/>
          <w:szCs w:val="22"/>
          <w:u w:val="single"/>
        </w:rPr>
      </w:pPr>
      <w:r>
        <w:rPr>
          <w:b/>
          <w:szCs w:val="22"/>
          <w:u w:val="single"/>
        </w:rPr>
        <w:t>____________________________</w:t>
      </w:r>
    </w:p>
    <w:p w:rsidR="00D5791E" w:rsidRDefault="00D5791E" w:rsidP="00F931EF">
      <w:pPr>
        <w:jc w:val="both"/>
        <w:rPr>
          <w:rFonts w:cs="TT222t00"/>
        </w:rPr>
      </w:pPr>
    </w:p>
    <w:p w:rsidR="009B7158" w:rsidRDefault="009B7158" w:rsidP="00F931EF">
      <w:pPr>
        <w:jc w:val="both"/>
        <w:rPr>
          <w:rFonts w:cs="TT222t00"/>
        </w:rPr>
      </w:pPr>
    </w:p>
    <w:p w:rsidR="009B7158" w:rsidRDefault="009B7158" w:rsidP="00F931EF">
      <w:pPr>
        <w:jc w:val="both"/>
        <w:rPr>
          <w:rFonts w:cs="TT222t00"/>
        </w:rPr>
      </w:pPr>
    </w:p>
    <w:p w:rsidR="009B7158" w:rsidRDefault="009B7158" w:rsidP="00F931EF">
      <w:pPr>
        <w:jc w:val="both"/>
        <w:rPr>
          <w:rFonts w:cs="TT222t00"/>
        </w:rPr>
      </w:pPr>
    </w:p>
    <w:p w:rsidR="009B7158" w:rsidRDefault="009B7158" w:rsidP="00F931EF">
      <w:pPr>
        <w:jc w:val="both"/>
        <w:rPr>
          <w:rFonts w:cs="TT222t00"/>
        </w:rPr>
      </w:pPr>
    </w:p>
    <w:p w:rsidR="009B7158" w:rsidRDefault="009B7158" w:rsidP="00F931EF">
      <w:pPr>
        <w:jc w:val="both"/>
        <w:rPr>
          <w:rFonts w:cs="TT222t00"/>
        </w:rPr>
      </w:pPr>
    </w:p>
    <w:p w:rsidR="00C723E1" w:rsidRDefault="00C723E1" w:rsidP="00F931EF">
      <w:pPr>
        <w:jc w:val="both"/>
        <w:rPr>
          <w:rFonts w:cs="TT222t00"/>
        </w:rPr>
      </w:pPr>
    </w:p>
    <w:p w:rsidR="00713A52" w:rsidRDefault="00713A52" w:rsidP="00F931EF">
      <w:pPr>
        <w:jc w:val="both"/>
        <w:rPr>
          <w:rFonts w:cs="TT222t00"/>
        </w:rPr>
      </w:pPr>
    </w:p>
    <w:p w:rsidR="00713A52" w:rsidRDefault="00713A52" w:rsidP="00F931EF">
      <w:pPr>
        <w:jc w:val="both"/>
        <w:rPr>
          <w:rFonts w:cs="TT222t00"/>
        </w:rPr>
      </w:pPr>
    </w:p>
    <w:p w:rsidR="00B678F2" w:rsidRDefault="00B678F2" w:rsidP="001C5159">
      <w:pPr>
        <w:pStyle w:val="NoSpacing"/>
        <w:jc w:val="both"/>
      </w:pPr>
    </w:p>
    <w:p w:rsidR="00B678F2" w:rsidRDefault="00B678F2" w:rsidP="001C5159">
      <w:pPr>
        <w:pStyle w:val="NoSpacing"/>
        <w:jc w:val="both"/>
      </w:pPr>
    </w:p>
    <w:p w:rsidR="00B678F2" w:rsidRDefault="00B678F2" w:rsidP="001C5159">
      <w:pPr>
        <w:pStyle w:val="NoSpacing"/>
        <w:jc w:val="both"/>
      </w:pPr>
    </w:p>
    <w:p w:rsidR="00191BC4" w:rsidRDefault="001C5159" w:rsidP="001C5159">
      <w:pPr>
        <w:pStyle w:val="NoSpacing"/>
        <w:jc w:val="both"/>
      </w:pPr>
      <w:r>
        <w:t xml:space="preserve">Thanks to each CPA Firm for your continuing cooperation as we deal with </w:t>
      </w:r>
      <w:r w:rsidR="00437382">
        <w:t xml:space="preserve">these </w:t>
      </w:r>
      <w:r>
        <w:t xml:space="preserve">difficult </w:t>
      </w:r>
      <w:r w:rsidR="00C723E1">
        <w:t>issues related to pensions.</w:t>
      </w:r>
      <w:r>
        <w:t xml:space="preserve">  </w:t>
      </w:r>
      <w:r w:rsidR="002D5A03">
        <w:t xml:space="preserve">Please share this memo with other </w:t>
      </w:r>
      <w:r w:rsidR="00191BC4">
        <w:t>members of your staff that are involved in auditing entities that have pensions.</w:t>
      </w:r>
    </w:p>
    <w:p w:rsidR="00191BC4" w:rsidRDefault="00191BC4" w:rsidP="001C5159">
      <w:pPr>
        <w:pStyle w:val="NoSpacing"/>
        <w:jc w:val="both"/>
      </w:pPr>
    </w:p>
    <w:p w:rsidR="001C5159" w:rsidRDefault="00B15E21" w:rsidP="001C5159">
      <w:pPr>
        <w:pStyle w:val="NoSpacing"/>
        <w:jc w:val="both"/>
      </w:pPr>
      <w:r>
        <w:t xml:space="preserve">Feel free to contact us if you have questions about this memo.  The best way to contact us is by telephone.  </w:t>
      </w:r>
      <w:r w:rsidR="001C5159">
        <w:t xml:space="preserve">Our contact information is as follows:  </w:t>
      </w:r>
    </w:p>
    <w:p w:rsidR="001C5159" w:rsidRDefault="001C5159" w:rsidP="001C5159">
      <w:pPr>
        <w:pStyle w:val="NoSpacing"/>
        <w:jc w:val="both"/>
      </w:pPr>
    </w:p>
    <w:p w:rsidR="001C5159" w:rsidRPr="009B7158" w:rsidRDefault="001C5159" w:rsidP="001C5159">
      <w:pPr>
        <w:pStyle w:val="NoSpacing"/>
        <w:jc w:val="both"/>
        <w:rPr>
          <w:szCs w:val="18"/>
        </w:rPr>
      </w:pPr>
      <w:r w:rsidRPr="009B7158">
        <w:rPr>
          <w:szCs w:val="18"/>
        </w:rPr>
        <w:t>Jerry E. Durham, CPA, CGFM, CFE</w:t>
      </w:r>
      <w:r w:rsidRPr="009B7158">
        <w:rPr>
          <w:szCs w:val="18"/>
        </w:rPr>
        <w:tab/>
      </w:r>
      <w:r w:rsidRPr="009B7158">
        <w:rPr>
          <w:szCs w:val="18"/>
        </w:rPr>
        <w:tab/>
      </w:r>
      <w:r w:rsidR="00B15E21" w:rsidRPr="009B7158">
        <w:rPr>
          <w:szCs w:val="18"/>
        </w:rPr>
        <w:t>David Sturtevant</w:t>
      </w:r>
      <w:r w:rsidR="00352527" w:rsidRPr="009B7158">
        <w:rPr>
          <w:szCs w:val="18"/>
        </w:rPr>
        <w:t>, CPA</w:t>
      </w:r>
      <w:r w:rsidR="00D70902">
        <w:rPr>
          <w:szCs w:val="18"/>
        </w:rPr>
        <w:t>, CGFM, CFE</w:t>
      </w:r>
    </w:p>
    <w:p w:rsidR="001C5159" w:rsidRPr="009B7158" w:rsidRDefault="001C5159" w:rsidP="001C5159">
      <w:pPr>
        <w:pStyle w:val="NoSpacing"/>
        <w:jc w:val="both"/>
        <w:rPr>
          <w:szCs w:val="18"/>
        </w:rPr>
      </w:pPr>
      <w:r w:rsidRPr="009B7158">
        <w:rPr>
          <w:szCs w:val="18"/>
        </w:rPr>
        <w:t>Assistant Director</w:t>
      </w:r>
      <w:r w:rsidR="00334EB7" w:rsidRPr="009B7158">
        <w:rPr>
          <w:szCs w:val="18"/>
        </w:rPr>
        <w:t>, Contract Review</w:t>
      </w:r>
      <w:r w:rsidRPr="009B7158">
        <w:rPr>
          <w:szCs w:val="18"/>
        </w:rPr>
        <w:tab/>
      </w:r>
      <w:r w:rsidRPr="009B7158">
        <w:rPr>
          <w:szCs w:val="18"/>
        </w:rPr>
        <w:tab/>
      </w:r>
      <w:r w:rsidR="004553E0" w:rsidRPr="009B7158">
        <w:rPr>
          <w:szCs w:val="18"/>
        </w:rPr>
        <w:t>Contract Review Manager, County</w:t>
      </w:r>
      <w:r w:rsidRPr="009B7158">
        <w:rPr>
          <w:szCs w:val="18"/>
        </w:rPr>
        <w:tab/>
      </w:r>
      <w:r w:rsidRPr="009B7158">
        <w:rPr>
          <w:szCs w:val="18"/>
        </w:rPr>
        <w:tab/>
      </w:r>
    </w:p>
    <w:p w:rsidR="001C5159" w:rsidRPr="009B7158" w:rsidRDefault="001C5159" w:rsidP="001C5159">
      <w:pPr>
        <w:pStyle w:val="NoSpacing"/>
        <w:jc w:val="both"/>
        <w:rPr>
          <w:szCs w:val="18"/>
        </w:rPr>
      </w:pPr>
      <w:r w:rsidRPr="009B7158">
        <w:rPr>
          <w:szCs w:val="18"/>
        </w:rPr>
        <w:t>Division of Local Government Audit</w:t>
      </w:r>
      <w:r w:rsidRPr="009B7158">
        <w:rPr>
          <w:szCs w:val="18"/>
        </w:rPr>
        <w:tab/>
      </w:r>
      <w:r w:rsidRPr="009B7158">
        <w:rPr>
          <w:szCs w:val="18"/>
        </w:rPr>
        <w:tab/>
        <w:t>Division of Local Government Audit</w:t>
      </w:r>
    </w:p>
    <w:p w:rsidR="004553E0" w:rsidRPr="009B7158" w:rsidRDefault="0043390E" w:rsidP="001C5159">
      <w:pPr>
        <w:pStyle w:val="NoSpacing"/>
        <w:jc w:val="both"/>
        <w:rPr>
          <w:szCs w:val="18"/>
        </w:rPr>
      </w:pPr>
      <w:hyperlink r:id="rId9" w:history="1">
        <w:r w:rsidR="001C5159" w:rsidRPr="009B7158">
          <w:rPr>
            <w:rStyle w:val="Hyperlink"/>
            <w:szCs w:val="18"/>
          </w:rPr>
          <w:t>Jerry.Durham@cot.tn.gov</w:t>
        </w:r>
      </w:hyperlink>
      <w:r w:rsidR="001C5159" w:rsidRPr="009B7158">
        <w:rPr>
          <w:szCs w:val="18"/>
        </w:rPr>
        <w:tab/>
      </w:r>
      <w:r w:rsidR="001C5159" w:rsidRPr="009B7158">
        <w:rPr>
          <w:szCs w:val="18"/>
        </w:rPr>
        <w:tab/>
      </w:r>
      <w:r w:rsidR="001C5159" w:rsidRPr="009B7158">
        <w:rPr>
          <w:szCs w:val="18"/>
        </w:rPr>
        <w:tab/>
      </w:r>
      <w:r w:rsidR="001C5159" w:rsidRPr="009B7158">
        <w:rPr>
          <w:szCs w:val="18"/>
        </w:rPr>
        <w:tab/>
      </w:r>
      <w:hyperlink r:id="rId10" w:history="1">
        <w:r w:rsidR="004553E0" w:rsidRPr="009B7158">
          <w:rPr>
            <w:rStyle w:val="Hyperlink"/>
            <w:szCs w:val="18"/>
          </w:rPr>
          <w:t>David.Sturtevant@cot.tn.gov</w:t>
        </w:r>
      </w:hyperlink>
    </w:p>
    <w:p w:rsidR="001C5159" w:rsidRPr="009B7158" w:rsidRDefault="001C5159" w:rsidP="001C5159">
      <w:pPr>
        <w:pStyle w:val="NoSpacing"/>
        <w:jc w:val="both"/>
        <w:rPr>
          <w:szCs w:val="18"/>
        </w:rPr>
      </w:pPr>
      <w:r w:rsidRPr="009B7158">
        <w:rPr>
          <w:szCs w:val="18"/>
        </w:rPr>
        <w:t xml:space="preserve">Direct Telephone:  615.401.7951 </w:t>
      </w:r>
      <w:r w:rsidRPr="009B7158">
        <w:rPr>
          <w:szCs w:val="18"/>
        </w:rPr>
        <w:tab/>
      </w:r>
      <w:r w:rsidRPr="009B7158">
        <w:rPr>
          <w:szCs w:val="18"/>
        </w:rPr>
        <w:tab/>
      </w:r>
      <w:r w:rsidRPr="009B7158">
        <w:rPr>
          <w:szCs w:val="18"/>
        </w:rPr>
        <w:tab/>
        <w:t>Direct Telephone:  615.401.7</w:t>
      </w:r>
      <w:r w:rsidR="003C3D14" w:rsidRPr="009B7158">
        <w:rPr>
          <w:szCs w:val="18"/>
        </w:rPr>
        <w:t>851</w:t>
      </w:r>
    </w:p>
    <w:p w:rsidR="00D5791E" w:rsidRPr="009B7158" w:rsidRDefault="00D5791E" w:rsidP="00F931EF">
      <w:pPr>
        <w:jc w:val="both"/>
        <w:rPr>
          <w:rFonts w:cs="TT222t00"/>
          <w:szCs w:val="18"/>
        </w:rPr>
      </w:pPr>
    </w:p>
    <w:p w:rsidR="00B17BCB" w:rsidRPr="009B7158" w:rsidRDefault="004553E0" w:rsidP="00F931EF">
      <w:pPr>
        <w:tabs>
          <w:tab w:val="left" w:pos="720"/>
          <w:tab w:val="left" w:pos="1440"/>
          <w:tab w:val="left" w:pos="2160"/>
          <w:tab w:val="left" w:pos="2880"/>
          <w:tab w:val="left" w:pos="3600"/>
          <w:tab w:val="left" w:pos="4320"/>
        </w:tabs>
        <w:jc w:val="both"/>
        <w:rPr>
          <w:szCs w:val="18"/>
        </w:rPr>
      </w:pPr>
      <w:r w:rsidRPr="009B7158">
        <w:rPr>
          <w:szCs w:val="18"/>
        </w:rPr>
        <w:t>Jean Suh, CPA</w:t>
      </w:r>
      <w:r w:rsidR="00D70902">
        <w:rPr>
          <w:szCs w:val="18"/>
        </w:rPr>
        <w:t>, CGFM</w:t>
      </w:r>
    </w:p>
    <w:p w:rsidR="00E35F8B" w:rsidRPr="009B7158" w:rsidRDefault="004553E0" w:rsidP="00F931EF">
      <w:pPr>
        <w:tabs>
          <w:tab w:val="left" w:pos="720"/>
          <w:tab w:val="left" w:pos="1440"/>
          <w:tab w:val="left" w:pos="2160"/>
          <w:tab w:val="left" w:pos="2880"/>
          <w:tab w:val="left" w:pos="3600"/>
          <w:tab w:val="left" w:pos="4320"/>
        </w:tabs>
        <w:jc w:val="both"/>
        <w:rPr>
          <w:szCs w:val="18"/>
        </w:rPr>
      </w:pPr>
      <w:r w:rsidRPr="009B7158">
        <w:rPr>
          <w:szCs w:val="18"/>
        </w:rPr>
        <w:t>Contract Review Manager, Municipal</w:t>
      </w:r>
    </w:p>
    <w:p w:rsidR="004553E0" w:rsidRPr="009B7158" w:rsidRDefault="004553E0" w:rsidP="00F931EF">
      <w:pPr>
        <w:tabs>
          <w:tab w:val="left" w:pos="720"/>
          <w:tab w:val="left" w:pos="1440"/>
          <w:tab w:val="left" w:pos="2160"/>
          <w:tab w:val="left" w:pos="2880"/>
          <w:tab w:val="left" w:pos="3600"/>
          <w:tab w:val="left" w:pos="4320"/>
        </w:tabs>
        <w:jc w:val="both"/>
        <w:rPr>
          <w:szCs w:val="18"/>
        </w:rPr>
      </w:pPr>
      <w:r w:rsidRPr="009B7158">
        <w:rPr>
          <w:szCs w:val="18"/>
        </w:rPr>
        <w:t>Division of Local Government Audit</w:t>
      </w:r>
    </w:p>
    <w:p w:rsidR="004553E0" w:rsidRPr="009B7158" w:rsidRDefault="0043390E" w:rsidP="00F931EF">
      <w:pPr>
        <w:tabs>
          <w:tab w:val="left" w:pos="720"/>
          <w:tab w:val="left" w:pos="1440"/>
          <w:tab w:val="left" w:pos="2160"/>
          <w:tab w:val="left" w:pos="2880"/>
          <w:tab w:val="left" w:pos="3600"/>
          <w:tab w:val="left" w:pos="4320"/>
        </w:tabs>
        <w:jc w:val="both"/>
        <w:rPr>
          <w:szCs w:val="18"/>
        </w:rPr>
      </w:pPr>
      <w:hyperlink r:id="rId11" w:history="1">
        <w:r w:rsidR="004553E0" w:rsidRPr="009B7158">
          <w:rPr>
            <w:rStyle w:val="Hyperlink"/>
            <w:szCs w:val="18"/>
          </w:rPr>
          <w:t>Jean.Suh@cot.tn.gov</w:t>
        </w:r>
      </w:hyperlink>
    </w:p>
    <w:p w:rsidR="004553E0" w:rsidRPr="009B7158" w:rsidRDefault="004553E0" w:rsidP="00F931EF">
      <w:pPr>
        <w:tabs>
          <w:tab w:val="left" w:pos="720"/>
          <w:tab w:val="left" w:pos="1440"/>
          <w:tab w:val="left" w:pos="2160"/>
          <w:tab w:val="left" w:pos="2880"/>
          <w:tab w:val="left" w:pos="3600"/>
          <w:tab w:val="left" w:pos="4320"/>
        </w:tabs>
        <w:jc w:val="both"/>
        <w:rPr>
          <w:szCs w:val="18"/>
        </w:rPr>
      </w:pPr>
      <w:r w:rsidRPr="009B7158">
        <w:rPr>
          <w:szCs w:val="18"/>
        </w:rPr>
        <w:t>Direct Telephone:  615.401.</w:t>
      </w:r>
      <w:r w:rsidR="003C3D14" w:rsidRPr="009B7158">
        <w:rPr>
          <w:szCs w:val="18"/>
        </w:rPr>
        <w:t>7919</w:t>
      </w:r>
    </w:p>
    <w:p w:rsidR="004553E0" w:rsidRPr="009B7158" w:rsidRDefault="004553E0" w:rsidP="00F931EF">
      <w:pPr>
        <w:tabs>
          <w:tab w:val="left" w:pos="720"/>
          <w:tab w:val="left" w:pos="1440"/>
          <w:tab w:val="left" w:pos="2160"/>
          <w:tab w:val="left" w:pos="2880"/>
          <w:tab w:val="left" w:pos="3600"/>
          <w:tab w:val="left" w:pos="4320"/>
        </w:tabs>
        <w:jc w:val="both"/>
        <w:rPr>
          <w:sz w:val="28"/>
          <w:szCs w:val="22"/>
        </w:rPr>
      </w:pPr>
    </w:p>
    <w:sectPr w:rsidR="004553E0" w:rsidRPr="009B7158" w:rsidSect="004C3B9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547" w:right="1440" w:bottom="720" w:left="1440" w:header="432" w:footer="706"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192" w:rsidRDefault="00DC0192">
      <w:r>
        <w:separator/>
      </w:r>
    </w:p>
  </w:endnote>
  <w:endnote w:type="continuationSeparator" w:id="0">
    <w:p w:rsidR="00DC0192" w:rsidRDefault="00DC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222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50D" w:rsidRDefault="00D955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50D" w:rsidRDefault="00D955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50D" w:rsidRDefault="00D95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192" w:rsidRDefault="00DC0192">
      <w:r>
        <w:separator/>
      </w:r>
    </w:p>
  </w:footnote>
  <w:footnote w:type="continuationSeparator" w:id="0">
    <w:p w:rsidR="00DC0192" w:rsidRDefault="00DC0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50D" w:rsidRDefault="00D955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581611"/>
      <w:docPartObj>
        <w:docPartGallery w:val="Page Numbers (Top of Page)"/>
        <w:docPartUnique/>
      </w:docPartObj>
    </w:sdtPr>
    <w:sdtEndPr>
      <w:rPr>
        <w:noProof/>
      </w:rPr>
    </w:sdtEndPr>
    <w:sdtContent>
      <w:p w:rsidR="00D9550D" w:rsidRDefault="00D9550D">
        <w:pPr>
          <w:pStyle w:val="Header"/>
        </w:pPr>
        <w:r>
          <w:t>Fiduciary Responsibility Memo</w:t>
        </w:r>
      </w:p>
      <w:p w:rsidR="00D9550D" w:rsidRDefault="00D9550D">
        <w:pPr>
          <w:pStyle w:val="Header"/>
        </w:pPr>
        <w:r>
          <w:t xml:space="preserve">Page </w:t>
        </w:r>
        <w:r>
          <w:fldChar w:fldCharType="begin"/>
        </w:r>
        <w:r>
          <w:instrText xml:space="preserve"> PAGE   \* MERGEFORMAT </w:instrText>
        </w:r>
        <w:r>
          <w:fldChar w:fldCharType="separate"/>
        </w:r>
        <w:r w:rsidR="0043390E">
          <w:rPr>
            <w:noProof/>
          </w:rPr>
          <w:t>2</w:t>
        </w:r>
        <w:r>
          <w:rPr>
            <w:noProof/>
          </w:rPr>
          <w:fldChar w:fldCharType="end"/>
        </w:r>
        <w:r>
          <w:rPr>
            <w:noProof/>
          </w:rPr>
          <w:t xml:space="preserve"> of 6</w:t>
        </w:r>
      </w:p>
    </w:sdtContent>
  </w:sdt>
  <w:p w:rsidR="00D9550D" w:rsidRDefault="00D955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815" w:rsidRDefault="00623815" w:rsidP="00623815">
    <w:pPr>
      <w:jc w:val="center"/>
      <w:rPr>
        <w:b/>
        <w:sz w:val="28"/>
      </w:rPr>
    </w:pPr>
    <w:r w:rsidRPr="008040D8">
      <w:rPr>
        <w:b/>
        <w:sz w:val="28"/>
      </w:rPr>
      <w:object w:dxaOrig="1397" w:dyaOrig="1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pt;height:63.95pt" o:ole="">
          <v:imagedata r:id="rId1" o:title=""/>
        </v:shape>
        <o:OLEObject Type="Embed" ProgID="Word.Picture.8" ShapeID="_x0000_i1025" DrawAspect="Content" ObjectID="_1537259650" r:id="rId2"/>
      </w:object>
    </w:r>
  </w:p>
  <w:p w:rsidR="00623815" w:rsidRDefault="00623815" w:rsidP="00623815">
    <w:pPr>
      <w:jc w:val="center"/>
      <w:rPr>
        <w:b/>
        <w:sz w:val="8"/>
      </w:rPr>
    </w:pPr>
  </w:p>
  <w:p w:rsidR="00623815" w:rsidRDefault="00623815" w:rsidP="00623815">
    <w:pPr>
      <w:pStyle w:val="Heading1i"/>
    </w:pPr>
    <w:r>
      <w:t xml:space="preserve">STATE OF </w:t>
    </w:r>
    <w:smartTag w:uri="urn:schemas-microsoft-com:office:smarttags" w:element="place">
      <w:smartTag w:uri="urn:schemas-microsoft-com:office:smarttags" w:element="State">
        <w:r>
          <w:t>TENNESSEE</w:t>
        </w:r>
      </w:smartTag>
    </w:smartTag>
  </w:p>
  <w:p w:rsidR="00623815" w:rsidRDefault="00623815" w:rsidP="00623815">
    <w:pPr>
      <w:pStyle w:val="Header2i"/>
    </w:pPr>
    <w:r>
      <w:t>COMPTROLLER OF THE TREASURY</w:t>
    </w:r>
  </w:p>
  <w:p w:rsidR="00623815" w:rsidRPr="00EE75B9" w:rsidRDefault="00623815" w:rsidP="00623815">
    <w:pPr>
      <w:pStyle w:val="Heading1i"/>
    </w:pPr>
    <w:r w:rsidRPr="00EE75B9">
      <w:t>DEPARTMENT OF AUDIT</w:t>
    </w:r>
  </w:p>
  <w:p w:rsidR="00623815" w:rsidRPr="00EE75B9" w:rsidRDefault="00623815" w:rsidP="00623815">
    <w:pPr>
      <w:pStyle w:val="Heading1i"/>
    </w:pPr>
    <w:r w:rsidRPr="00EE75B9">
      <w:t xml:space="preserve">DIVISION OF </w:t>
    </w:r>
    <w:r>
      <w:t>LOCAL GOVERNMENT</w:t>
    </w:r>
    <w:r w:rsidRPr="00EE75B9">
      <w:t xml:space="preserve"> AUDIT</w:t>
    </w:r>
  </w:p>
  <w:p w:rsidR="00623815" w:rsidRDefault="00623815" w:rsidP="00623815">
    <w:pPr>
      <w:pStyle w:val="Header3i"/>
      <w:tabs>
        <w:tab w:val="left" w:pos="3960"/>
      </w:tabs>
      <w:jc w:val="center"/>
    </w:pPr>
    <w:r>
      <w:t>SUITE 1500</w:t>
    </w:r>
  </w:p>
  <w:p w:rsidR="00623815" w:rsidRDefault="00623815" w:rsidP="00623815">
    <w:pPr>
      <w:pStyle w:val="Header3ai"/>
      <w:tabs>
        <w:tab w:val="left" w:pos="3780"/>
      </w:tabs>
      <w:jc w:val="center"/>
    </w:pPr>
    <w:r>
      <w:t>JAMES K. POLK STATE OFFICE BUILDING</w:t>
    </w:r>
  </w:p>
  <w:p w:rsidR="00623815" w:rsidRDefault="00623815" w:rsidP="00623815">
    <w:pPr>
      <w:pStyle w:val="Heading4i"/>
    </w:pPr>
    <w:r>
      <w:t>NASHVILLE, TENNESSEE  37243-1402</w:t>
    </w:r>
  </w:p>
  <w:p w:rsidR="00623815" w:rsidRDefault="00623815" w:rsidP="00623815">
    <w:pPr>
      <w:pStyle w:val="Heading4i"/>
    </w:pPr>
    <w:r>
      <w:t>PHONE (615) 401-7841</w:t>
    </w:r>
  </w:p>
  <w:p w:rsidR="00A447D6" w:rsidRDefault="00A447D6" w:rsidP="00CF09DB">
    <w:pPr>
      <w:pStyle w:val="Heading4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04988"/>
    <w:multiLevelType w:val="hybridMultilevel"/>
    <w:tmpl w:val="9C0AC348"/>
    <w:lvl w:ilvl="0" w:tplc="0409000F">
      <w:start w:val="1"/>
      <w:numFmt w:val="decimal"/>
      <w:lvlText w:val="%1."/>
      <w:lvlJc w:val="left"/>
      <w:pPr>
        <w:ind w:left="842" w:hanging="360"/>
      </w:p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 w15:restartNumberingAfterBreak="0">
    <w:nsid w:val="1AC70C4E"/>
    <w:multiLevelType w:val="hybridMultilevel"/>
    <w:tmpl w:val="7D48B2E6"/>
    <w:lvl w:ilvl="0" w:tplc="5BD8C466">
      <w:start w:val="3"/>
      <w:numFmt w:val="decimal"/>
      <w:lvlText w:val="%1."/>
      <w:lvlJc w:val="left"/>
      <w:pPr>
        <w:ind w:left="842"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7516F"/>
    <w:multiLevelType w:val="hybridMultilevel"/>
    <w:tmpl w:val="9C0AC348"/>
    <w:lvl w:ilvl="0" w:tplc="0409000F">
      <w:start w:val="1"/>
      <w:numFmt w:val="decimal"/>
      <w:lvlText w:val="%1."/>
      <w:lvlJc w:val="left"/>
      <w:pPr>
        <w:ind w:left="842" w:hanging="360"/>
      </w:p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3" w15:restartNumberingAfterBreak="0">
    <w:nsid w:val="4A1C4E7D"/>
    <w:multiLevelType w:val="hybridMultilevel"/>
    <w:tmpl w:val="ADAE5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533F26"/>
    <w:multiLevelType w:val="hybridMultilevel"/>
    <w:tmpl w:val="AC2E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B31719"/>
    <w:multiLevelType w:val="hybridMultilevel"/>
    <w:tmpl w:val="DC14AC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355944"/>
    <w:multiLevelType w:val="hybridMultilevel"/>
    <w:tmpl w:val="2BBE98D4"/>
    <w:lvl w:ilvl="0" w:tplc="9996856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1907B6"/>
    <w:multiLevelType w:val="hybridMultilevel"/>
    <w:tmpl w:val="A508CCE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890FA5"/>
    <w:multiLevelType w:val="hybridMultilevel"/>
    <w:tmpl w:val="460484EE"/>
    <w:lvl w:ilvl="0" w:tplc="0409000F">
      <w:start w:val="1"/>
      <w:numFmt w:val="decimal"/>
      <w:lvlText w:val="%1."/>
      <w:lvlJc w:val="left"/>
      <w:pPr>
        <w:ind w:left="842" w:hanging="360"/>
      </w:p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num w:numId="1">
    <w:abstractNumId w:val="4"/>
  </w:num>
  <w:num w:numId="2">
    <w:abstractNumId w:val="8"/>
  </w:num>
  <w:num w:numId="3">
    <w:abstractNumId w:val="0"/>
  </w:num>
  <w:num w:numId="4">
    <w:abstractNumId w:val="2"/>
  </w:num>
  <w:num w:numId="5">
    <w:abstractNumId w:val="6"/>
  </w:num>
  <w:num w:numId="6">
    <w:abstractNumId w:val="7"/>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EC"/>
    <w:rsid w:val="000046DF"/>
    <w:rsid w:val="000071F4"/>
    <w:rsid w:val="00007BD7"/>
    <w:rsid w:val="00011D98"/>
    <w:rsid w:val="00012B7A"/>
    <w:rsid w:val="00013A7D"/>
    <w:rsid w:val="00020FBD"/>
    <w:rsid w:val="000217F4"/>
    <w:rsid w:val="00022F66"/>
    <w:rsid w:val="00043624"/>
    <w:rsid w:val="00044FB5"/>
    <w:rsid w:val="00047589"/>
    <w:rsid w:val="00054F98"/>
    <w:rsid w:val="0005673B"/>
    <w:rsid w:val="00056829"/>
    <w:rsid w:val="00060485"/>
    <w:rsid w:val="00072A6F"/>
    <w:rsid w:val="00073B91"/>
    <w:rsid w:val="00073E49"/>
    <w:rsid w:val="00076C31"/>
    <w:rsid w:val="00080D11"/>
    <w:rsid w:val="00082096"/>
    <w:rsid w:val="0008410F"/>
    <w:rsid w:val="00086775"/>
    <w:rsid w:val="00087449"/>
    <w:rsid w:val="000905D7"/>
    <w:rsid w:val="000952EE"/>
    <w:rsid w:val="000A1EF4"/>
    <w:rsid w:val="000A25AE"/>
    <w:rsid w:val="000A5BFB"/>
    <w:rsid w:val="000A6377"/>
    <w:rsid w:val="000B10A0"/>
    <w:rsid w:val="000B6030"/>
    <w:rsid w:val="000C2DC3"/>
    <w:rsid w:val="000C7EFF"/>
    <w:rsid w:val="000D1B07"/>
    <w:rsid w:val="000D1BA0"/>
    <w:rsid w:val="000E199C"/>
    <w:rsid w:val="000E2744"/>
    <w:rsid w:val="001005BB"/>
    <w:rsid w:val="001019D5"/>
    <w:rsid w:val="00103485"/>
    <w:rsid w:val="00103F1B"/>
    <w:rsid w:val="00115C06"/>
    <w:rsid w:val="00121669"/>
    <w:rsid w:val="001231C9"/>
    <w:rsid w:val="0013171D"/>
    <w:rsid w:val="00131C68"/>
    <w:rsid w:val="001356CC"/>
    <w:rsid w:val="00135EF8"/>
    <w:rsid w:val="00136BF2"/>
    <w:rsid w:val="00136EF1"/>
    <w:rsid w:val="00141D11"/>
    <w:rsid w:val="00143068"/>
    <w:rsid w:val="001573B6"/>
    <w:rsid w:val="00160783"/>
    <w:rsid w:val="00176C28"/>
    <w:rsid w:val="001802BA"/>
    <w:rsid w:val="00181F93"/>
    <w:rsid w:val="001826EB"/>
    <w:rsid w:val="00191BC4"/>
    <w:rsid w:val="00191BED"/>
    <w:rsid w:val="00195FAC"/>
    <w:rsid w:val="001A2409"/>
    <w:rsid w:val="001A26FA"/>
    <w:rsid w:val="001B0104"/>
    <w:rsid w:val="001B3D8F"/>
    <w:rsid w:val="001C5159"/>
    <w:rsid w:val="001C6197"/>
    <w:rsid w:val="001D066E"/>
    <w:rsid w:val="001D0EF9"/>
    <w:rsid w:val="001D34FB"/>
    <w:rsid w:val="001D59BD"/>
    <w:rsid w:val="001E0BA1"/>
    <w:rsid w:val="001E5303"/>
    <w:rsid w:val="001E78F2"/>
    <w:rsid w:val="001F2FF4"/>
    <w:rsid w:val="001F373F"/>
    <w:rsid w:val="001F6579"/>
    <w:rsid w:val="002024DA"/>
    <w:rsid w:val="00206A9F"/>
    <w:rsid w:val="00210E4E"/>
    <w:rsid w:val="00213BD2"/>
    <w:rsid w:val="00214371"/>
    <w:rsid w:val="0022361A"/>
    <w:rsid w:val="0024073A"/>
    <w:rsid w:val="00246CD8"/>
    <w:rsid w:val="00247963"/>
    <w:rsid w:val="002718F3"/>
    <w:rsid w:val="002766DE"/>
    <w:rsid w:val="002801D7"/>
    <w:rsid w:val="00286951"/>
    <w:rsid w:val="00286B7A"/>
    <w:rsid w:val="002978C2"/>
    <w:rsid w:val="002A5965"/>
    <w:rsid w:val="002A6D83"/>
    <w:rsid w:val="002C388A"/>
    <w:rsid w:val="002C5740"/>
    <w:rsid w:val="002D06C2"/>
    <w:rsid w:val="002D09B9"/>
    <w:rsid w:val="002D0C39"/>
    <w:rsid w:val="002D4B9C"/>
    <w:rsid w:val="002D5A03"/>
    <w:rsid w:val="002E7687"/>
    <w:rsid w:val="002F464D"/>
    <w:rsid w:val="002F4DD8"/>
    <w:rsid w:val="002F5DF7"/>
    <w:rsid w:val="002F6C3D"/>
    <w:rsid w:val="00303BF5"/>
    <w:rsid w:val="003070C6"/>
    <w:rsid w:val="00307D05"/>
    <w:rsid w:val="00310A10"/>
    <w:rsid w:val="00313187"/>
    <w:rsid w:val="00326F27"/>
    <w:rsid w:val="003270C1"/>
    <w:rsid w:val="00334EB7"/>
    <w:rsid w:val="0033746F"/>
    <w:rsid w:val="00341BEF"/>
    <w:rsid w:val="00343246"/>
    <w:rsid w:val="003447CD"/>
    <w:rsid w:val="00345AAF"/>
    <w:rsid w:val="00352527"/>
    <w:rsid w:val="00353510"/>
    <w:rsid w:val="00356DD5"/>
    <w:rsid w:val="003611AB"/>
    <w:rsid w:val="003636CA"/>
    <w:rsid w:val="00366330"/>
    <w:rsid w:val="0036727E"/>
    <w:rsid w:val="00376D8D"/>
    <w:rsid w:val="00382EAA"/>
    <w:rsid w:val="00387D36"/>
    <w:rsid w:val="0039102E"/>
    <w:rsid w:val="00391414"/>
    <w:rsid w:val="003A0896"/>
    <w:rsid w:val="003B4073"/>
    <w:rsid w:val="003B5751"/>
    <w:rsid w:val="003C11E3"/>
    <w:rsid w:val="003C3D14"/>
    <w:rsid w:val="003C41E2"/>
    <w:rsid w:val="003D4F1F"/>
    <w:rsid w:val="003E047E"/>
    <w:rsid w:val="003F06AD"/>
    <w:rsid w:val="003F1C88"/>
    <w:rsid w:val="003F2DF1"/>
    <w:rsid w:val="003F3B50"/>
    <w:rsid w:val="003F449E"/>
    <w:rsid w:val="003F71EE"/>
    <w:rsid w:val="003F7628"/>
    <w:rsid w:val="003F7CE4"/>
    <w:rsid w:val="0040329D"/>
    <w:rsid w:val="00411ADC"/>
    <w:rsid w:val="004123F0"/>
    <w:rsid w:val="0041541E"/>
    <w:rsid w:val="00417A85"/>
    <w:rsid w:val="004203AD"/>
    <w:rsid w:val="0043390E"/>
    <w:rsid w:val="00437382"/>
    <w:rsid w:val="00443717"/>
    <w:rsid w:val="00450BC1"/>
    <w:rsid w:val="0045140F"/>
    <w:rsid w:val="004553E0"/>
    <w:rsid w:val="00456AAD"/>
    <w:rsid w:val="00466A56"/>
    <w:rsid w:val="00466F10"/>
    <w:rsid w:val="00471643"/>
    <w:rsid w:val="00473262"/>
    <w:rsid w:val="00482D5B"/>
    <w:rsid w:val="004845CC"/>
    <w:rsid w:val="00484F64"/>
    <w:rsid w:val="0048574C"/>
    <w:rsid w:val="00486119"/>
    <w:rsid w:val="00493E04"/>
    <w:rsid w:val="00496787"/>
    <w:rsid w:val="00497ADD"/>
    <w:rsid w:val="004A0855"/>
    <w:rsid w:val="004A59C9"/>
    <w:rsid w:val="004A7C83"/>
    <w:rsid w:val="004B3F5B"/>
    <w:rsid w:val="004B4FC6"/>
    <w:rsid w:val="004B6501"/>
    <w:rsid w:val="004B65FD"/>
    <w:rsid w:val="004B7B42"/>
    <w:rsid w:val="004B7C95"/>
    <w:rsid w:val="004C050B"/>
    <w:rsid w:val="004C3B98"/>
    <w:rsid w:val="004C6D6C"/>
    <w:rsid w:val="004D1018"/>
    <w:rsid w:val="004D1EAA"/>
    <w:rsid w:val="004D39B8"/>
    <w:rsid w:val="004D3F85"/>
    <w:rsid w:val="004D6A85"/>
    <w:rsid w:val="004F2FC3"/>
    <w:rsid w:val="004F3EC7"/>
    <w:rsid w:val="004F445D"/>
    <w:rsid w:val="004F5911"/>
    <w:rsid w:val="004F7BAC"/>
    <w:rsid w:val="00501AAB"/>
    <w:rsid w:val="005021A6"/>
    <w:rsid w:val="005042A4"/>
    <w:rsid w:val="0050580C"/>
    <w:rsid w:val="00516ED3"/>
    <w:rsid w:val="00517BFB"/>
    <w:rsid w:val="00522B75"/>
    <w:rsid w:val="00525823"/>
    <w:rsid w:val="00531382"/>
    <w:rsid w:val="005360D7"/>
    <w:rsid w:val="00540B26"/>
    <w:rsid w:val="00542DD9"/>
    <w:rsid w:val="00543D70"/>
    <w:rsid w:val="00545508"/>
    <w:rsid w:val="005475E5"/>
    <w:rsid w:val="0056242F"/>
    <w:rsid w:val="0056657C"/>
    <w:rsid w:val="00566F72"/>
    <w:rsid w:val="005671EC"/>
    <w:rsid w:val="00575AA0"/>
    <w:rsid w:val="00580B17"/>
    <w:rsid w:val="005838B3"/>
    <w:rsid w:val="005856DB"/>
    <w:rsid w:val="00585BBF"/>
    <w:rsid w:val="00590DFE"/>
    <w:rsid w:val="005930B0"/>
    <w:rsid w:val="0059578B"/>
    <w:rsid w:val="005971E0"/>
    <w:rsid w:val="005A18C7"/>
    <w:rsid w:val="005A514D"/>
    <w:rsid w:val="005A688F"/>
    <w:rsid w:val="005C70CD"/>
    <w:rsid w:val="005E186F"/>
    <w:rsid w:val="005E4742"/>
    <w:rsid w:val="005E4AC5"/>
    <w:rsid w:val="005F17A2"/>
    <w:rsid w:val="005F3FE7"/>
    <w:rsid w:val="005F4D11"/>
    <w:rsid w:val="005F625B"/>
    <w:rsid w:val="005F7EDC"/>
    <w:rsid w:val="00602F3C"/>
    <w:rsid w:val="0060617B"/>
    <w:rsid w:val="006147BD"/>
    <w:rsid w:val="006158CD"/>
    <w:rsid w:val="0061609E"/>
    <w:rsid w:val="00623815"/>
    <w:rsid w:val="006466F4"/>
    <w:rsid w:val="00647B73"/>
    <w:rsid w:val="00647D62"/>
    <w:rsid w:val="00647F77"/>
    <w:rsid w:val="00653C63"/>
    <w:rsid w:val="00655910"/>
    <w:rsid w:val="00664AA6"/>
    <w:rsid w:val="00673A06"/>
    <w:rsid w:val="00674D93"/>
    <w:rsid w:val="00682082"/>
    <w:rsid w:val="006821B7"/>
    <w:rsid w:val="00685BE1"/>
    <w:rsid w:val="00687996"/>
    <w:rsid w:val="00687FE9"/>
    <w:rsid w:val="006901C9"/>
    <w:rsid w:val="0069198C"/>
    <w:rsid w:val="00692A14"/>
    <w:rsid w:val="00693981"/>
    <w:rsid w:val="00693EE5"/>
    <w:rsid w:val="006950C4"/>
    <w:rsid w:val="006958AE"/>
    <w:rsid w:val="006A7207"/>
    <w:rsid w:val="006A770B"/>
    <w:rsid w:val="006B0B39"/>
    <w:rsid w:val="006B72E9"/>
    <w:rsid w:val="006C2445"/>
    <w:rsid w:val="006C319F"/>
    <w:rsid w:val="006C41D3"/>
    <w:rsid w:val="006C5089"/>
    <w:rsid w:val="006C6C4C"/>
    <w:rsid w:val="006D47BC"/>
    <w:rsid w:val="006D5505"/>
    <w:rsid w:val="006E0C01"/>
    <w:rsid w:val="006E0D1B"/>
    <w:rsid w:val="006E275A"/>
    <w:rsid w:val="006E44B7"/>
    <w:rsid w:val="006F0ACD"/>
    <w:rsid w:val="006F4485"/>
    <w:rsid w:val="006F4EEB"/>
    <w:rsid w:val="006F759E"/>
    <w:rsid w:val="0070352A"/>
    <w:rsid w:val="0070352C"/>
    <w:rsid w:val="00704826"/>
    <w:rsid w:val="00707DC7"/>
    <w:rsid w:val="00711E88"/>
    <w:rsid w:val="00712930"/>
    <w:rsid w:val="00713A52"/>
    <w:rsid w:val="00713E67"/>
    <w:rsid w:val="007233E6"/>
    <w:rsid w:val="007247A5"/>
    <w:rsid w:val="0072573E"/>
    <w:rsid w:val="00730271"/>
    <w:rsid w:val="007310E2"/>
    <w:rsid w:val="00751D91"/>
    <w:rsid w:val="0076252C"/>
    <w:rsid w:val="00764753"/>
    <w:rsid w:val="00766728"/>
    <w:rsid w:val="00770A6C"/>
    <w:rsid w:val="0077147D"/>
    <w:rsid w:val="00771B4A"/>
    <w:rsid w:val="00774EEC"/>
    <w:rsid w:val="0077717E"/>
    <w:rsid w:val="00792DAF"/>
    <w:rsid w:val="007A6C2C"/>
    <w:rsid w:val="007B1647"/>
    <w:rsid w:val="007B306F"/>
    <w:rsid w:val="007B6BF4"/>
    <w:rsid w:val="007C2684"/>
    <w:rsid w:val="007C4EA2"/>
    <w:rsid w:val="007C5D56"/>
    <w:rsid w:val="007C6518"/>
    <w:rsid w:val="007D47CB"/>
    <w:rsid w:val="007E3E7B"/>
    <w:rsid w:val="007E4592"/>
    <w:rsid w:val="007F0205"/>
    <w:rsid w:val="007F5A1C"/>
    <w:rsid w:val="00803CB8"/>
    <w:rsid w:val="00805DD0"/>
    <w:rsid w:val="008070A7"/>
    <w:rsid w:val="0081619C"/>
    <w:rsid w:val="0083768E"/>
    <w:rsid w:val="008407DE"/>
    <w:rsid w:val="008414C9"/>
    <w:rsid w:val="00843362"/>
    <w:rsid w:val="008449C7"/>
    <w:rsid w:val="00845EA4"/>
    <w:rsid w:val="0084755B"/>
    <w:rsid w:val="00852E79"/>
    <w:rsid w:val="0086073F"/>
    <w:rsid w:val="00861101"/>
    <w:rsid w:val="00871D97"/>
    <w:rsid w:val="00872A72"/>
    <w:rsid w:val="00873BE1"/>
    <w:rsid w:val="00873DFD"/>
    <w:rsid w:val="00876C84"/>
    <w:rsid w:val="008813D4"/>
    <w:rsid w:val="00893C63"/>
    <w:rsid w:val="008A0F12"/>
    <w:rsid w:val="008A12EB"/>
    <w:rsid w:val="008A6430"/>
    <w:rsid w:val="008A6694"/>
    <w:rsid w:val="008B1BFB"/>
    <w:rsid w:val="008B25E9"/>
    <w:rsid w:val="008B5DDF"/>
    <w:rsid w:val="008C2C70"/>
    <w:rsid w:val="008D425F"/>
    <w:rsid w:val="008D6EE4"/>
    <w:rsid w:val="008E11EF"/>
    <w:rsid w:val="008E467A"/>
    <w:rsid w:val="008F77C5"/>
    <w:rsid w:val="008F7DC5"/>
    <w:rsid w:val="00901E2E"/>
    <w:rsid w:val="00914185"/>
    <w:rsid w:val="00917CC7"/>
    <w:rsid w:val="00923F3C"/>
    <w:rsid w:val="00926ED9"/>
    <w:rsid w:val="0093093B"/>
    <w:rsid w:val="00933606"/>
    <w:rsid w:val="009378D9"/>
    <w:rsid w:val="00942D78"/>
    <w:rsid w:val="009476C1"/>
    <w:rsid w:val="00947B64"/>
    <w:rsid w:val="0095208C"/>
    <w:rsid w:val="0095450B"/>
    <w:rsid w:val="0095577E"/>
    <w:rsid w:val="009579FE"/>
    <w:rsid w:val="00957C7F"/>
    <w:rsid w:val="00961D85"/>
    <w:rsid w:val="00962C5E"/>
    <w:rsid w:val="00963C37"/>
    <w:rsid w:val="009654D1"/>
    <w:rsid w:val="0096563C"/>
    <w:rsid w:val="009745FA"/>
    <w:rsid w:val="009757E1"/>
    <w:rsid w:val="009801BB"/>
    <w:rsid w:val="009931CB"/>
    <w:rsid w:val="009973DE"/>
    <w:rsid w:val="009A1772"/>
    <w:rsid w:val="009A793B"/>
    <w:rsid w:val="009B33E0"/>
    <w:rsid w:val="009B7158"/>
    <w:rsid w:val="009C014B"/>
    <w:rsid w:val="009C283D"/>
    <w:rsid w:val="009C4AE1"/>
    <w:rsid w:val="009C5481"/>
    <w:rsid w:val="009D2361"/>
    <w:rsid w:val="009D2BF6"/>
    <w:rsid w:val="009E1ED7"/>
    <w:rsid w:val="009E720A"/>
    <w:rsid w:val="009E794C"/>
    <w:rsid w:val="00A04727"/>
    <w:rsid w:val="00A05EB1"/>
    <w:rsid w:val="00A06E82"/>
    <w:rsid w:val="00A117E4"/>
    <w:rsid w:val="00A1377E"/>
    <w:rsid w:val="00A25E2C"/>
    <w:rsid w:val="00A32F85"/>
    <w:rsid w:val="00A33315"/>
    <w:rsid w:val="00A4394F"/>
    <w:rsid w:val="00A43B0E"/>
    <w:rsid w:val="00A447D6"/>
    <w:rsid w:val="00A531EC"/>
    <w:rsid w:val="00A55215"/>
    <w:rsid w:val="00A576B5"/>
    <w:rsid w:val="00A61B08"/>
    <w:rsid w:val="00A61C44"/>
    <w:rsid w:val="00A64377"/>
    <w:rsid w:val="00A66766"/>
    <w:rsid w:val="00A67FF9"/>
    <w:rsid w:val="00A741B0"/>
    <w:rsid w:val="00A75D19"/>
    <w:rsid w:val="00A80598"/>
    <w:rsid w:val="00A83967"/>
    <w:rsid w:val="00A844EC"/>
    <w:rsid w:val="00A866CF"/>
    <w:rsid w:val="00A879FA"/>
    <w:rsid w:val="00AA44EC"/>
    <w:rsid w:val="00AA5A9C"/>
    <w:rsid w:val="00AC1496"/>
    <w:rsid w:val="00AC2B6A"/>
    <w:rsid w:val="00AC349B"/>
    <w:rsid w:val="00AD2468"/>
    <w:rsid w:val="00AD5BCB"/>
    <w:rsid w:val="00AE3CF5"/>
    <w:rsid w:val="00AE40DF"/>
    <w:rsid w:val="00AF4E8D"/>
    <w:rsid w:val="00B03490"/>
    <w:rsid w:val="00B15E21"/>
    <w:rsid w:val="00B17BCB"/>
    <w:rsid w:val="00B25039"/>
    <w:rsid w:val="00B27743"/>
    <w:rsid w:val="00B41207"/>
    <w:rsid w:val="00B45799"/>
    <w:rsid w:val="00B5193F"/>
    <w:rsid w:val="00B52924"/>
    <w:rsid w:val="00B56D10"/>
    <w:rsid w:val="00B60201"/>
    <w:rsid w:val="00B65E80"/>
    <w:rsid w:val="00B678F2"/>
    <w:rsid w:val="00B70538"/>
    <w:rsid w:val="00B739A1"/>
    <w:rsid w:val="00B756AB"/>
    <w:rsid w:val="00B76ABF"/>
    <w:rsid w:val="00B76CD9"/>
    <w:rsid w:val="00B8376B"/>
    <w:rsid w:val="00B83E67"/>
    <w:rsid w:val="00B854BA"/>
    <w:rsid w:val="00B874C3"/>
    <w:rsid w:val="00B92A97"/>
    <w:rsid w:val="00B9452B"/>
    <w:rsid w:val="00B960C4"/>
    <w:rsid w:val="00BA02B1"/>
    <w:rsid w:val="00BA16F7"/>
    <w:rsid w:val="00BA3459"/>
    <w:rsid w:val="00BB2A28"/>
    <w:rsid w:val="00BC48F2"/>
    <w:rsid w:val="00BC6802"/>
    <w:rsid w:val="00BD2BC9"/>
    <w:rsid w:val="00BE1AEF"/>
    <w:rsid w:val="00BE270B"/>
    <w:rsid w:val="00BE3220"/>
    <w:rsid w:val="00BE41CA"/>
    <w:rsid w:val="00BF6319"/>
    <w:rsid w:val="00C02BC0"/>
    <w:rsid w:val="00C15D39"/>
    <w:rsid w:val="00C1650E"/>
    <w:rsid w:val="00C16BC4"/>
    <w:rsid w:val="00C20F94"/>
    <w:rsid w:val="00C3551D"/>
    <w:rsid w:val="00C364D3"/>
    <w:rsid w:val="00C43C9A"/>
    <w:rsid w:val="00C54014"/>
    <w:rsid w:val="00C55065"/>
    <w:rsid w:val="00C64C17"/>
    <w:rsid w:val="00C723E1"/>
    <w:rsid w:val="00C85D46"/>
    <w:rsid w:val="00C863C5"/>
    <w:rsid w:val="00C912E1"/>
    <w:rsid w:val="00C9140D"/>
    <w:rsid w:val="00C91E66"/>
    <w:rsid w:val="00C9364C"/>
    <w:rsid w:val="00C96C83"/>
    <w:rsid w:val="00C975BC"/>
    <w:rsid w:val="00CC0B44"/>
    <w:rsid w:val="00CC1E48"/>
    <w:rsid w:val="00CC5BE5"/>
    <w:rsid w:val="00CD286C"/>
    <w:rsid w:val="00CD5D00"/>
    <w:rsid w:val="00CE06F5"/>
    <w:rsid w:val="00CE111A"/>
    <w:rsid w:val="00CE76BD"/>
    <w:rsid w:val="00CE7949"/>
    <w:rsid w:val="00CF09DB"/>
    <w:rsid w:val="00CF5113"/>
    <w:rsid w:val="00D03F14"/>
    <w:rsid w:val="00D04802"/>
    <w:rsid w:val="00D06B9C"/>
    <w:rsid w:val="00D11B3C"/>
    <w:rsid w:val="00D14EAF"/>
    <w:rsid w:val="00D16313"/>
    <w:rsid w:val="00D26AF1"/>
    <w:rsid w:val="00D32634"/>
    <w:rsid w:val="00D33BC7"/>
    <w:rsid w:val="00D35819"/>
    <w:rsid w:val="00D365C4"/>
    <w:rsid w:val="00D41F91"/>
    <w:rsid w:val="00D4346A"/>
    <w:rsid w:val="00D436C8"/>
    <w:rsid w:val="00D44DB7"/>
    <w:rsid w:val="00D563E0"/>
    <w:rsid w:val="00D56FC8"/>
    <w:rsid w:val="00D5791E"/>
    <w:rsid w:val="00D600F2"/>
    <w:rsid w:val="00D64ED5"/>
    <w:rsid w:val="00D67E95"/>
    <w:rsid w:val="00D70902"/>
    <w:rsid w:val="00D718C0"/>
    <w:rsid w:val="00D7211C"/>
    <w:rsid w:val="00D72EDE"/>
    <w:rsid w:val="00D80B66"/>
    <w:rsid w:val="00D80EB2"/>
    <w:rsid w:val="00D83AC7"/>
    <w:rsid w:val="00D90647"/>
    <w:rsid w:val="00D90FEB"/>
    <w:rsid w:val="00D91033"/>
    <w:rsid w:val="00D91A24"/>
    <w:rsid w:val="00D92C59"/>
    <w:rsid w:val="00D9363C"/>
    <w:rsid w:val="00D9550D"/>
    <w:rsid w:val="00D95D9D"/>
    <w:rsid w:val="00D978C5"/>
    <w:rsid w:val="00DA08A1"/>
    <w:rsid w:val="00DA1EB2"/>
    <w:rsid w:val="00DA334B"/>
    <w:rsid w:val="00DA5D68"/>
    <w:rsid w:val="00DA6A3B"/>
    <w:rsid w:val="00DA6B1E"/>
    <w:rsid w:val="00DB3C73"/>
    <w:rsid w:val="00DB7AD6"/>
    <w:rsid w:val="00DC0192"/>
    <w:rsid w:val="00DC1712"/>
    <w:rsid w:val="00DD7E66"/>
    <w:rsid w:val="00DE12F5"/>
    <w:rsid w:val="00DE49E6"/>
    <w:rsid w:val="00DF0912"/>
    <w:rsid w:val="00DF2B74"/>
    <w:rsid w:val="00E0435D"/>
    <w:rsid w:val="00E0689B"/>
    <w:rsid w:val="00E13707"/>
    <w:rsid w:val="00E22EB6"/>
    <w:rsid w:val="00E23685"/>
    <w:rsid w:val="00E24F69"/>
    <w:rsid w:val="00E27C2F"/>
    <w:rsid w:val="00E34D97"/>
    <w:rsid w:val="00E35465"/>
    <w:rsid w:val="00E35F8B"/>
    <w:rsid w:val="00E56CEE"/>
    <w:rsid w:val="00E57827"/>
    <w:rsid w:val="00E61373"/>
    <w:rsid w:val="00E62658"/>
    <w:rsid w:val="00E62C1C"/>
    <w:rsid w:val="00E66AE5"/>
    <w:rsid w:val="00E76366"/>
    <w:rsid w:val="00E8002A"/>
    <w:rsid w:val="00E85D41"/>
    <w:rsid w:val="00E86F46"/>
    <w:rsid w:val="00E94431"/>
    <w:rsid w:val="00EB02F3"/>
    <w:rsid w:val="00EB35FA"/>
    <w:rsid w:val="00EC137C"/>
    <w:rsid w:val="00EC6198"/>
    <w:rsid w:val="00EC7ACC"/>
    <w:rsid w:val="00ED1C63"/>
    <w:rsid w:val="00EE2606"/>
    <w:rsid w:val="00EE4CFF"/>
    <w:rsid w:val="00EE513E"/>
    <w:rsid w:val="00EE75B9"/>
    <w:rsid w:val="00EF04BB"/>
    <w:rsid w:val="00F00A11"/>
    <w:rsid w:val="00F00D8A"/>
    <w:rsid w:val="00F04CDF"/>
    <w:rsid w:val="00F06B88"/>
    <w:rsid w:val="00F10B3F"/>
    <w:rsid w:val="00F12EA6"/>
    <w:rsid w:val="00F239AA"/>
    <w:rsid w:val="00F2506C"/>
    <w:rsid w:val="00F25EDC"/>
    <w:rsid w:val="00F342EE"/>
    <w:rsid w:val="00F43A12"/>
    <w:rsid w:val="00F50E8A"/>
    <w:rsid w:val="00F54C25"/>
    <w:rsid w:val="00F613D1"/>
    <w:rsid w:val="00F720EA"/>
    <w:rsid w:val="00F7264D"/>
    <w:rsid w:val="00F72D80"/>
    <w:rsid w:val="00F73B39"/>
    <w:rsid w:val="00F74074"/>
    <w:rsid w:val="00F84000"/>
    <w:rsid w:val="00F9166C"/>
    <w:rsid w:val="00F931EF"/>
    <w:rsid w:val="00F947EC"/>
    <w:rsid w:val="00F972EC"/>
    <w:rsid w:val="00FA2C35"/>
    <w:rsid w:val="00FA40E7"/>
    <w:rsid w:val="00FB5C02"/>
    <w:rsid w:val="00FC2AC5"/>
    <w:rsid w:val="00FC58CC"/>
    <w:rsid w:val="00FE107D"/>
    <w:rsid w:val="00FF1E7D"/>
    <w:rsid w:val="00FF483A"/>
    <w:rsid w:val="00FF7E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8"/>
    <o:shapelayout v:ext="edit">
      <o:idmap v:ext="edit" data="1"/>
    </o:shapelayout>
  </w:shapeDefaults>
  <w:decimalSymbol w:val="."/>
  <w:listSeparator w:val=","/>
  <w15:docId w15:val="{682857B3-4AE6-419D-B919-DA76C581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465"/>
    <w:rPr>
      <w:rFonts w:ascii="Century Schoolbook" w:hAnsi="Century Schoolbook"/>
      <w:sz w:val="22"/>
      <w:szCs w:val="24"/>
    </w:rPr>
  </w:style>
  <w:style w:type="paragraph" w:styleId="Heading1">
    <w:name w:val="heading 1"/>
    <w:basedOn w:val="Normal"/>
    <w:next w:val="Normal"/>
    <w:qFormat/>
    <w:rsid w:val="00E35465"/>
    <w:pPr>
      <w:keepNext/>
      <w:spacing w:before="40"/>
      <w:jc w:val="right"/>
      <w:outlineLvl w:val="0"/>
    </w:pPr>
    <w:rPr>
      <w:b/>
      <w:color w:val="000000"/>
      <w:sz w:val="16"/>
      <w:szCs w:val="20"/>
    </w:rPr>
  </w:style>
  <w:style w:type="paragraph" w:styleId="Heading2">
    <w:name w:val="heading 2"/>
    <w:basedOn w:val="Normal"/>
    <w:next w:val="Normal"/>
    <w:qFormat/>
    <w:rsid w:val="00E35465"/>
    <w:pPr>
      <w:keepNext/>
      <w:jc w:val="center"/>
      <w:outlineLvl w:val="1"/>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5465"/>
    <w:pPr>
      <w:tabs>
        <w:tab w:val="center" w:pos="4320"/>
        <w:tab w:val="right" w:pos="8640"/>
      </w:tabs>
    </w:pPr>
  </w:style>
  <w:style w:type="paragraph" w:styleId="Footer">
    <w:name w:val="footer"/>
    <w:basedOn w:val="Normal"/>
    <w:rsid w:val="00E35465"/>
    <w:pPr>
      <w:tabs>
        <w:tab w:val="center" w:pos="4320"/>
        <w:tab w:val="right" w:pos="8640"/>
      </w:tabs>
    </w:pPr>
  </w:style>
  <w:style w:type="paragraph" w:customStyle="1" w:styleId="Heading1i">
    <w:name w:val="Heading1i"/>
    <w:rsid w:val="00E35465"/>
    <w:pPr>
      <w:jc w:val="center"/>
    </w:pPr>
    <w:rPr>
      <w:b/>
      <w:sz w:val="22"/>
      <w:szCs w:val="24"/>
    </w:rPr>
  </w:style>
  <w:style w:type="paragraph" w:customStyle="1" w:styleId="Header2i">
    <w:name w:val="Header2i"/>
    <w:rsid w:val="00E35465"/>
    <w:pPr>
      <w:jc w:val="center"/>
    </w:pPr>
    <w:rPr>
      <w:b/>
      <w:sz w:val="24"/>
      <w:szCs w:val="24"/>
    </w:rPr>
  </w:style>
  <w:style w:type="paragraph" w:customStyle="1" w:styleId="Header3i">
    <w:name w:val="Header3i"/>
    <w:rsid w:val="00E35465"/>
    <w:pPr>
      <w:tabs>
        <w:tab w:val="left" w:pos="4680"/>
        <w:tab w:val="left" w:pos="7632"/>
      </w:tabs>
      <w:spacing w:before="40"/>
    </w:pPr>
    <w:rPr>
      <w:b/>
      <w:color w:val="000000"/>
      <w:sz w:val="16"/>
    </w:rPr>
  </w:style>
  <w:style w:type="paragraph" w:customStyle="1" w:styleId="Header3ai">
    <w:name w:val="Header3ai"/>
    <w:rsid w:val="00E35465"/>
    <w:pPr>
      <w:tabs>
        <w:tab w:val="left" w:pos="3456"/>
        <w:tab w:val="left" w:pos="8309"/>
      </w:tabs>
      <w:spacing w:before="40"/>
    </w:pPr>
    <w:rPr>
      <w:b/>
      <w:color w:val="000000"/>
      <w:sz w:val="16"/>
    </w:rPr>
  </w:style>
  <w:style w:type="paragraph" w:customStyle="1" w:styleId="Heading4i">
    <w:name w:val="Heading4i"/>
    <w:rsid w:val="00E35465"/>
    <w:pPr>
      <w:jc w:val="center"/>
    </w:pPr>
    <w:rPr>
      <w:b/>
      <w:sz w:val="16"/>
      <w:szCs w:val="24"/>
    </w:rPr>
  </w:style>
  <w:style w:type="paragraph" w:styleId="BalloonText">
    <w:name w:val="Balloon Text"/>
    <w:basedOn w:val="Normal"/>
    <w:link w:val="BalloonTextChar"/>
    <w:rsid w:val="001B0104"/>
    <w:rPr>
      <w:rFonts w:ascii="Tahoma" w:hAnsi="Tahoma" w:cs="Tahoma"/>
      <w:sz w:val="16"/>
      <w:szCs w:val="16"/>
    </w:rPr>
  </w:style>
  <w:style w:type="character" w:customStyle="1" w:styleId="BalloonTextChar">
    <w:name w:val="Balloon Text Char"/>
    <w:basedOn w:val="DefaultParagraphFont"/>
    <w:link w:val="BalloonText"/>
    <w:rsid w:val="001B0104"/>
    <w:rPr>
      <w:rFonts w:ascii="Tahoma" w:hAnsi="Tahoma" w:cs="Tahoma"/>
      <w:sz w:val="16"/>
      <w:szCs w:val="16"/>
    </w:rPr>
  </w:style>
  <w:style w:type="paragraph" w:styleId="ListParagraph">
    <w:name w:val="List Paragraph"/>
    <w:basedOn w:val="Normal"/>
    <w:uiPriority w:val="34"/>
    <w:qFormat/>
    <w:rsid w:val="008070A7"/>
    <w:pPr>
      <w:ind w:left="720"/>
      <w:contextualSpacing/>
    </w:pPr>
  </w:style>
  <w:style w:type="character" w:styleId="CommentReference">
    <w:name w:val="annotation reference"/>
    <w:basedOn w:val="DefaultParagraphFont"/>
    <w:rsid w:val="009C5481"/>
    <w:rPr>
      <w:sz w:val="16"/>
      <w:szCs w:val="16"/>
    </w:rPr>
  </w:style>
  <w:style w:type="paragraph" w:styleId="CommentText">
    <w:name w:val="annotation text"/>
    <w:basedOn w:val="Normal"/>
    <w:link w:val="CommentTextChar"/>
    <w:rsid w:val="009C5481"/>
    <w:rPr>
      <w:sz w:val="20"/>
      <w:szCs w:val="20"/>
    </w:rPr>
  </w:style>
  <w:style w:type="character" w:customStyle="1" w:styleId="CommentTextChar">
    <w:name w:val="Comment Text Char"/>
    <w:basedOn w:val="DefaultParagraphFont"/>
    <w:link w:val="CommentText"/>
    <w:rsid w:val="009C5481"/>
    <w:rPr>
      <w:rFonts w:ascii="Century Schoolbook" w:hAnsi="Century Schoolbook"/>
    </w:rPr>
  </w:style>
  <w:style w:type="paragraph" w:styleId="CommentSubject">
    <w:name w:val="annotation subject"/>
    <w:basedOn w:val="CommentText"/>
    <w:next w:val="CommentText"/>
    <w:link w:val="CommentSubjectChar"/>
    <w:rsid w:val="009C5481"/>
    <w:rPr>
      <w:b/>
      <w:bCs/>
    </w:rPr>
  </w:style>
  <w:style w:type="character" w:customStyle="1" w:styleId="CommentSubjectChar">
    <w:name w:val="Comment Subject Char"/>
    <w:basedOn w:val="CommentTextChar"/>
    <w:link w:val="CommentSubject"/>
    <w:rsid w:val="009C5481"/>
    <w:rPr>
      <w:rFonts w:ascii="Century Schoolbook" w:hAnsi="Century Schoolbook"/>
      <w:b/>
      <w:bCs/>
    </w:rPr>
  </w:style>
  <w:style w:type="paragraph" w:styleId="Revision">
    <w:name w:val="Revision"/>
    <w:hidden/>
    <w:uiPriority w:val="99"/>
    <w:semiHidden/>
    <w:rsid w:val="00861101"/>
    <w:rPr>
      <w:rFonts w:ascii="Century Schoolbook" w:hAnsi="Century Schoolbook"/>
      <w:sz w:val="22"/>
      <w:szCs w:val="24"/>
    </w:rPr>
  </w:style>
  <w:style w:type="paragraph" w:styleId="NoSpacing">
    <w:name w:val="No Spacing"/>
    <w:uiPriority w:val="1"/>
    <w:qFormat/>
    <w:rsid w:val="009801BB"/>
    <w:rPr>
      <w:rFonts w:ascii="Century Schoolbook" w:hAnsi="Century Schoolbook"/>
      <w:sz w:val="22"/>
      <w:szCs w:val="24"/>
    </w:rPr>
  </w:style>
  <w:style w:type="character" w:styleId="Hyperlink">
    <w:name w:val="Hyperlink"/>
    <w:basedOn w:val="DefaultParagraphFont"/>
    <w:uiPriority w:val="99"/>
    <w:unhideWhenUsed/>
    <w:rsid w:val="001C5159"/>
    <w:rPr>
      <w:color w:val="0000FF"/>
      <w:u w:val="single"/>
    </w:rPr>
  </w:style>
  <w:style w:type="character" w:styleId="FollowedHyperlink">
    <w:name w:val="FollowedHyperlink"/>
    <w:basedOn w:val="DefaultParagraphFont"/>
    <w:semiHidden/>
    <w:unhideWhenUsed/>
    <w:rsid w:val="004553E0"/>
    <w:rPr>
      <w:color w:val="800080" w:themeColor="followedHyperlink"/>
      <w:u w:val="single"/>
    </w:rPr>
  </w:style>
  <w:style w:type="character" w:customStyle="1" w:styleId="HeaderChar">
    <w:name w:val="Header Char"/>
    <w:basedOn w:val="DefaultParagraphFont"/>
    <w:link w:val="Header"/>
    <w:uiPriority w:val="99"/>
    <w:rsid w:val="001802BA"/>
    <w:rPr>
      <w:rFonts w:ascii="Century Schoolbook" w:hAnsi="Century School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807">
      <w:bodyDiv w:val="1"/>
      <w:marLeft w:val="0"/>
      <w:marRight w:val="0"/>
      <w:marTop w:val="0"/>
      <w:marBottom w:val="0"/>
      <w:divBdr>
        <w:top w:val="none" w:sz="0" w:space="0" w:color="auto"/>
        <w:left w:val="none" w:sz="0" w:space="0" w:color="auto"/>
        <w:bottom w:val="none" w:sz="0" w:space="0" w:color="auto"/>
        <w:right w:val="none" w:sz="0" w:space="0" w:color="auto"/>
      </w:divBdr>
    </w:div>
    <w:div w:id="353654122">
      <w:bodyDiv w:val="1"/>
      <w:marLeft w:val="0"/>
      <w:marRight w:val="0"/>
      <w:marTop w:val="0"/>
      <w:marBottom w:val="0"/>
      <w:divBdr>
        <w:top w:val="none" w:sz="0" w:space="0" w:color="auto"/>
        <w:left w:val="none" w:sz="0" w:space="0" w:color="auto"/>
        <w:bottom w:val="none" w:sz="0" w:space="0" w:color="auto"/>
        <w:right w:val="none" w:sz="0" w:space="0" w:color="auto"/>
      </w:divBdr>
    </w:div>
    <w:div w:id="1107848515">
      <w:bodyDiv w:val="1"/>
      <w:marLeft w:val="0"/>
      <w:marRight w:val="0"/>
      <w:marTop w:val="0"/>
      <w:marBottom w:val="0"/>
      <w:divBdr>
        <w:top w:val="none" w:sz="0" w:space="0" w:color="auto"/>
        <w:left w:val="none" w:sz="0" w:space="0" w:color="auto"/>
        <w:bottom w:val="none" w:sz="0" w:space="0" w:color="auto"/>
        <w:right w:val="none" w:sz="0" w:space="0" w:color="auto"/>
      </w:divBdr>
    </w:div>
    <w:div w:id="1333727605">
      <w:bodyDiv w:val="1"/>
      <w:marLeft w:val="0"/>
      <w:marRight w:val="0"/>
      <w:marTop w:val="0"/>
      <w:marBottom w:val="0"/>
      <w:divBdr>
        <w:top w:val="none" w:sz="0" w:space="0" w:color="auto"/>
        <w:left w:val="none" w:sz="0" w:space="0" w:color="auto"/>
        <w:bottom w:val="none" w:sz="0" w:space="0" w:color="auto"/>
        <w:right w:val="none" w:sz="0" w:space="0" w:color="auto"/>
      </w:divBdr>
    </w:div>
    <w:div w:id="1387100392">
      <w:bodyDiv w:val="1"/>
      <w:marLeft w:val="0"/>
      <w:marRight w:val="0"/>
      <w:marTop w:val="0"/>
      <w:marBottom w:val="0"/>
      <w:divBdr>
        <w:top w:val="none" w:sz="0" w:space="0" w:color="auto"/>
        <w:left w:val="none" w:sz="0" w:space="0" w:color="auto"/>
        <w:bottom w:val="none" w:sz="0" w:space="0" w:color="auto"/>
        <w:right w:val="none" w:sz="0" w:space="0" w:color="auto"/>
      </w:divBdr>
    </w:div>
    <w:div w:id="1634553463">
      <w:bodyDiv w:val="1"/>
      <w:marLeft w:val="0"/>
      <w:marRight w:val="0"/>
      <w:marTop w:val="0"/>
      <w:marBottom w:val="0"/>
      <w:divBdr>
        <w:top w:val="none" w:sz="0" w:space="0" w:color="auto"/>
        <w:left w:val="none" w:sz="0" w:space="0" w:color="auto"/>
        <w:bottom w:val="none" w:sz="0" w:space="0" w:color="auto"/>
        <w:right w:val="none" w:sz="0" w:space="0" w:color="auto"/>
      </w:divBdr>
    </w:div>
    <w:div w:id="191419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an.Suh@cot.tn.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vid.Sturtevant@cot.tn.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erry.Durham@cot.tn.go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D7E2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BAB25-13ED-4F6F-BA07-F1F61D4F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1726</TotalTime>
  <Pages>7</Pages>
  <Words>2370</Words>
  <Characters>13567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April 1, 2002</vt:lpstr>
    </vt:vector>
  </TitlesOfParts>
  <Company>State of Tennessee</Company>
  <LinksUpToDate>false</LinksUpToDate>
  <CharactersWithSpaces>15906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2002</dc:title>
  <dc:creator>Iris R. Haby</dc:creator>
  <cp:lastModifiedBy>Jerry Durham</cp:lastModifiedBy>
  <cp:revision>130</cp:revision>
  <cp:lastPrinted>2016-10-06T13:44:00Z</cp:lastPrinted>
  <dcterms:created xsi:type="dcterms:W3CDTF">2016-09-01T19:04:00Z</dcterms:created>
  <dcterms:modified xsi:type="dcterms:W3CDTF">2016-10-06T16:48:00Z</dcterms:modified>
</cp:coreProperties>
</file>