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DB" w:rsidRDefault="00F950DB" w:rsidP="009B5814">
      <w:pPr>
        <w:tabs>
          <w:tab w:val="left" w:pos="720"/>
          <w:tab w:val="left" w:pos="1440"/>
          <w:tab w:val="left" w:pos="2160"/>
          <w:tab w:val="left" w:pos="2880"/>
          <w:tab w:val="left" w:pos="3600"/>
          <w:tab w:val="left" w:pos="4320"/>
        </w:tabs>
        <w:jc w:val="both"/>
        <w:rPr>
          <w:b/>
          <w:sz w:val="24"/>
          <w:u w:val="single"/>
        </w:rPr>
      </w:pPr>
    </w:p>
    <w:p w:rsidR="00F950DB" w:rsidRPr="00483C9D" w:rsidRDefault="00572E18" w:rsidP="009B5814">
      <w:pPr>
        <w:tabs>
          <w:tab w:val="left" w:pos="720"/>
          <w:tab w:val="left" w:pos="1440"/>
          <w:tab w:val="left" w:pos="2160"/>
          <w:tab w:val="left" w:pos="2880"/>
          <w:tab w:val="left" w:pos="3600"/>
          <w:tab w:val="left" w:pos="4320"/>
        </w:tabs>
        <w:jc w:val="center"/>
        <w:rPr>
          <w:b/>
          <w:sz w:val="24"/>
        </w:rPr>
      </w:pPr>
      <w:r>
        <w:rPr>
          <w:b/>
          <w:sz w:val="24"/>
        </w:rPr>
        <w:t>September</w:t>
      </w:r>
      <w:r w:rsidR="00483C9D" w:rsidRPr="00483C9D">
        <w:rPr>
          <w:b/>
          <w:sz w:val="24"/>
        </w:rPr>
        <w:t xml:space="preserve"> </w:t>
      </w:r>
      <w:r w:rsidR="005B2A4E">
        <w:rPr>
          <w:b/>
          <w:sz w:val="24"/>
        </w:rPr>
        <w:t>22</w:t>
      </w:r>
      <w:r w:rsidR="00483C9D" w:rsidRPr="00483C9D">
        <w:rPr>
          <w:b/>
          <w:sz w:val="24"/>
        </w:rPr>
        <w:t>, 201</w:t>
      </w:r>
      <w:r w:rsidR="00BB498B">
        <w:rPr>
          <w:b/>
          <w:sz w:val="24"/>
        </w:rPr>
        <w:t>6</w:t>
      </w:r>
    </w:p>
    <w:p w:rsidR="00483C9D" w:rsidRDefault="00483C9D" w:rsidP="009B5814">
      <w:pPr>
        <w:tabs>
          <w:tab w:val="left" w:pos="720"/>
          <w:tab w:val="left" w:pos="1440"/>
          <w:tab w:val="left" w:pos="2160"/>
          <w:tab w:val="left" w:pos="2880"/>
          <w:tab w:val="left" w:pos="3600"/>
          <w:tab w:val="left" w:pos="4320"/>
        </w:tabs>
        <w:jc w:val="both"/>
        <w:rPr>
          <w:b/>
          <w:sz w:val="24"/>
          <w:u w:val="single"/>
        </w:rPr>
      </w:pPr>
    </w:p>
    <w:p w:rsidR="00E97DFD" w:rsidRPr="00197E04" w:rsidRDefault="00E97DFD" w:rsidP="009B5814">
      <w:pPr>
        <w:tabs>
          <w:tab w:val="left" w:pos="720"/>
          <w:tab w:val="left" w:pos="1440"/>
          <w:tab w:val="left" w:pos="2160"/>
          <w:tab w:val="left" w:pos="2880"/>
          <w:tab w:val="left" w:pos="3600"/>
          <w:tab w:val="left" w:pos="4320"/>
        </w:tabs>
        <w:jc w:val="both"/>
        <w:rPr>
          <w:b/>
          <w:sz w:val="24"/>
          <w:u w:val="single"/>
        </w:rPr>
      </w:pPr>
      <w:r w:rsidRPr="00197E04">
        <w:rPr>
          <w:b/>
          <w:sz w:val="24"/>
          <w:u w:val="single"/>
        </w:rPr>
        <w:t>MEMORANDUM</w:t>
      </w:r>
    </w:p>
    <w:p w:rsidR="00E97DFD" w:rsidRDefault="00E97DFD" w:rsidP="009B5814">
      <w:pPr>
        <w:tabs>
          <w:tab w:val="left" w:pos="720"/>
          <w:tab w:val="left" w:pos="1440"/>
          <w:tab w:val="left" w:pos="2160"/>
          <w:tab w:val="left" w:pos="2880"/>
          <w:tab w:val="left" w:pos="3600"/>
          <w:tab w:val="left" w:pos="4320"/>
        </w:tabs>
        <w:jc w:val="both"/>
      </w:pPr>
    </w:p>
    <w:p w:rsidR="00197E04" w:rsidRDefault="00197E04" w:rsidP="009B5814">
      <w:pPr>
        <w:tabs>
          <w:tab w:val="left" w:pos="720"/>
          <w:tab w:val="left" w:pos="1440"/>
          <w:tab w:val="left" w:pos="2160"/>
          <w:tab w:val="left" w:pos="2880"/>
          <w:tab w:val="left" w:pos="3600"/>
          <w:tab w:val="left" w:pos="4320"/>
        </w:tabs>
        <w:jc w:val="both"/>
      </w:pPr>
    </w:p>
    <w:p w:rsidR="00E97DFD" w:rsidRDefault="00E97DFD" w:rsidP="009B5814">
      <w:pPr>
        <w:tabs>
          <w:tab w:val="left" w:pos="720"/>
          <w:tab w:val="left" w:pos="1440"/>
          <w:tab w:val="left" w:pos="2160"/>
          <w:tab w:val="left" w:pos="2880"/>
          <w:tab w:val="left" w:pos="3600"/>
          <w:tab w:val="left" w:pos="4320"/>
        </w:tabs>
        <w:jc w:val="both"/>
      </w:pPr>
      <w:r w:rsidRPr="00197E04">
        <w:rPr>
          <w:b/>
        </w:rPr>
        <w:t>TO:</w:t>
      </w:r>
      <w:r>
        <w:tab/>
      </w:r>
      <w:r>
        <w:tab/>
      </w:r>
      <w:r w:rsidR="00483C9D">
        <w:t>CPA Firms</w:t>
      </w:r>
      <w:r>
        <w:t xml:space="preserve"> </w:t>
      </w:r>
      <w:r w:rsidR="00421D50">
        <w:t xml:space="preserve">Who Audit </w:t>
      </w:r>
      <w:proofErr w:type="spellStart"/>
      <w:r w:rsidR="003F341D">
        <w:t>TCRS</w:t>
      </w:r>
      <w:proofErr w:type="spellEnd"/>
      <w:r w:rsidR="003F341D">
        <w:t xml:space="preserve"> </w:t>
      </w:r>
      <w:r w:rsidR="00421D50">
        <w:t>Employer Pension Information</w:t>
      </w:r>
    </w:p>
    <w:p w:rsidR="00E97DFD" w:rsidRDefault="002F2DEA" w:rsidP="009B5814">
      <w:pPr>
        <w:tabs>
          <w:tab w:val="left" w:pos="720"/>
          <w:tab w:val="left" w:pos="1440"/>
          <w:tab w:val="left" w:pos="2160"/>
          <w:tab w:val="left" w:pos="2880"/>
          <w:tab w:val="left" w:pos="3600"/>
          <w:tab w:val="left" w:pos="4320"/>
        </w:tabs>
        <w:jc w:val="both"/>
      </w:pPr>
      <w:r>
        <w:rPr>
          <w:noProof/>
        </w:rPr>
        <w:drawing>
          <wp:anchor distT="0" distB="0" distL="114300" distR="114300" simplePos="0" relativeHeight="251657728" behindDoc="1" locked="0" layoutInCell="1" allowOverlap="1" wp14:anchorId="07D8D390" wp14:editId="24390199">
            <wp:simplePos x="0" y="0"/>
            <wp:positionH relativeFrom="column">
              <wp:posOffset>3640531</wp:posOffset>
            </wp:positionH>
            <wp:positionV relativeFrom="paragraph">
              <wp:posOffset>131623</wp:posOffset>
            </wp:positionV>
            <wp:extent cx="1268730" cy="509905"/>
            <wp:effectExtent l="0" t="0" r="7620" b="4445"/>
            <wp:wrapNone/>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73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DFD">
        <w:tab/>
      </w:r>
      <w:r w:rsidR="00E97DFD">
        <w:tab/>
      </w:r>
    </w:p>
    <w:p w:rsidR="00E97DFD" w:rsidRDefault="00E97DFD" w:rsidP="009B5814">
      <w:pPr>
        <w:tabs>
          <w:tab w:val="left" w:pos="720"/>
          <w:tab w:val="left" w:pos="1440"/>
          <w:tab w:val="left" w:pos="2160"/>
          <w:tab w:val="left" w:pos="2880"/>
          <w:tab w:val="left" w:pos="3600"/>
          <w:tab w:val="left" w:pos="4320"/>
        </w:tabs>
        <w:jc w:val="both"/>
      </w:pPr>
      <w:r w:rsidRPr="00197E04">
        <w:rPr>
          <w:b/>
        </w:rPr>
        <w:t>FROM:</w:t>
      </w:r>
      <w:r>
        <w:tab/>
        <w:t xml:space="preserve">Jerry E. Durham, CPA, </w:t>
      </w:r>
      <w:proofErr w:type="spellStart"/>
      <w:r>
        <w:t>CGFM</w:t>
      </w:r>
      <w:proofErr w:type="spellEnd"/>
      <w:r>
        <w:t xml:space="preserve">, </w:t>
      </w:r>
      <w:proofErr w:type="spellStart"/>
      <w:proofErr w:type="gramStart"/>
      <w:r>
        <w:t>CFE</w:t>
      </w:r>
      <w:proofErr w:type="spellEnd"/>
      <w:proofErr w:type="gramEnd"/>
      <w:r w:rsidR="00197E04" w:rsidRPr="00197E04">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E97DFD" w:rsidRDefault="00E97DFD" w:rsidP="009B5814">
      <w:pPr>
        <w:tabs>
          <w:tab w:val="left" w:pos="720"/>
          <w:tab w:val="left" w:pos="1440"/>
          <w:tab w:val="left" w:pos="2160"/>
          <w:tab w:val="left" w:pos="2880"/>
          <w:tab w:val="left" w:pos="3600"/>
          <w:tab w:val="left" w:pos="4320"/>
        </w:tabs>
        <w:jc w:val="both"/>
      </w:pPr>
      <w:r>
        <w:tab/>
      </w:r>
      <w:r>
        <w:tab/>
        <w:t>Assistant Director</w:t>
      </w:r>
    </w:p>
    <w:p w:rsidR="00E97DFD" w:rsidRDefault="00E97DFD" w:rsidP="009B5814">
      <w:pPr>
        <w:tabs>
          <w:tab w:val="left" w:pos="720"/>
          <w:tab w:val="left" w:pos="1440"/>
          <w:tab w:val="left" w:pos="2160"/>
          <w:tab w:val="left" w:pos="2880"/>
          <w:tab w:val="left" w:pos="3600"/>
          <w:tab w:val="left" w:pos="4320"/>
        </w:tabs>
        <w:jc w:val="both"/>
      </w:pPr>
      <w:r>
        <w:tab/>
      </w:r>
      <w:r>
        <w:tab/>
        <w:t>Division of Local Government Audit</w:t>
      </w:r>
    </w:p>
    <w:p w:rsidR="00E97DFD" w:rsidRDefault="00E97DFD" w:rsidP="009B5814">
      <w:pPr>
        <w:tabs>
          <w:tab w:val="left" w:pos="720"/>
          <w:tab w:val="left" w:pos="1440"/>
          <w:tab w:val="left" w:pos="2160"/>
          <w:tab w:val="left" w:pos="2880"/>
          <w:tab w:val="left" w:pos="3600"/>
          <w:tab w:val="left" w:pos="4320"/>
        </w:tabs>
        <w:jc w:val="both"/>
      </w:pPr>
    </w:p>
    <w:p w:rsidR="00E97DFD" w:rsidRPr="00822400" w:rsidRDefault="00E97DFD" w:rsidP="009B5814">
      <w:pPr>
        <w:tabs>
          <w:tab w:val="left" w:pos="720"/>
          <w:tab w:val="left" w:pos="1440"/>
          <w:tab w:val="left" w:pos="2160"/>
          <w:tab w:val="left" w:pos="2880"/>
          <w:tab w:val="left" w:pos="3600"/>
          <w:tab w:val="left" w:pos="4320"/>
        </w:tabs>
        <w:ind w:left="1440" w:hanging="1440"/>
        <w:jc w:val="both"/>
        <w:rPr>
          <w:b/>
          <w:i/>
        </w:rPr>
      </w:pPr>
      <w:r w:rsidRPr="00197E04">
        <w:rPr>
          <w:b/>
        </w:rPr>
        <w:t>SUBJECT:</w:t>
      </w:r>
      <w:r w:rsidRPr="00E97DFD">
        <w:t xml:space="preserve"> </w:t>
      </w:r>
      <w:r>
        <w:tab/>
      </w:r>
      <w:r w:rsidR="00EA654C">
        <w:t xml:space="preserve">2016 </w:t>
      </w:r>
      <w:proofErr w:type="spellStart"/>
      <w:r w:rsidR="007F086B">
        <w:t>TCRS</w:t>
      </w:r>
      <w:proofErr w:type="spellEnd"/>
      <w:r w:rsidR="007F086B">
        <w:t xml:space="preserve"> </w:t>
      </w:r>
      <w:r w:rsidR="00483C9D">
        <w:t>Pension Audit Update</w:t>
      </w:r>
    </w:p>
    <w:p w:rsidR="00984718" w:rsidRDefault="00984718" w:rsidP="009B5814">
      <w:pPr>
        <w:tabs>
          <w:tab w:val="left" w:pos="720"/>
          <w:tab w:val="left" w:pos="1440"/>
          <w:tab w:val="left" w:pos="2160"/>
          <w:tab w:val="left" w:pos="2880"/>
          <w:tab w:val="left" w:pos="3600"/>
          <w:tab w:val="left" w:pos="4320"/>
        </w:tabs>
        <w:ind w:left="1440" w:hanging="1440"/>
        <w:jc w:val="both"/>
      </w:pPr>
    </w:p>
    <w:p w:rsidR="003C57F4" w:rsidRDefault="003C57F4" w:rsidP="009B5814">
      <w:pPr>
        <w:tabs>
          <w:tab w:val="left" w:pos="720"/>
          <w:tab w:val="left" w:pos="1440"/>
          <w:tab w:val="left" w:pos="2160"/>
          <w:tab w:val="left" w:pos="2880"/>
          <w:tab w:val="left" w:pos="3600"/>
          <w:tab w:val="left" w:pos="4320"/>
        </w:tabs>
        <w:ind w:left="1440" w:hanging="1440"/>
        <w:jc w:val="both"/>
      </w:pPr>
    </w:p>
    <w:p w:rsidR="004E2396" w:rsidRDefault="00483C9D" w:rsidP="009B5814">
      <w:pPr>
        <w:pStyle w:val="NoSpacing"/>
        <w:jc w:val="both"/>
      </w:pPr>
      <w:r>
        <w:t xml:space="preserve">This memo is </w:t>
      </w:r>
      <w:r w:rsidR="00186A88">
        <w:t>int</w:t>
      </w:r>
      <w:r w:rsidR="00874C5F">
        <w:t xml:space="preserve">ended to provide information </w:t>
      </w:r>
      <w:r w:rsidR="00A57359">
        <w:t xml:space="preserve">and instructions </w:t>
      </w:r>
      <w:r w:rsidR="00874C5F">
        <w:t xml:space="preserve">you </w:t>
      </w:r>
      <w:r w:rsidR="00A57359">
        <w:t xml:space="preserve">should find useful </w:t>
      </w:r>
      <w:r w:rsidR="008768B4">
        <w:t>when auditing</w:t>
      </w:r>
      <w:r w:rsidR="00874C5F">
        <w:t xml:space="preserve"> pension information at the employer level </w:t>
      </w:r>
      <w:r>
        <w:t xml:space="preserve">under </w:t>
      </w:r>
      <w:proofErr w:type="spellStart"/>
      <w:r>
        <w:t>GASB</w:t>
      </w:r>
      <w:proofErr w:type="spellEnd"/>
      <w:r>
        <w:t xml:space="preserve"> 68</w:t>
      </w:r>
      <w:r w:rsidR="00572E18">
        <w:t>,</w:t>
      </w:r>
      <w:r>
        <w:t xml:space="preserve"> </w:t>
      </w:r>
      <w:proofErr w:type="spellStart"/>
      <w:r>
        <w:t>GASB</w:t>
      </w:r>
      <w:proofErr w:type="spellEnd"/>
      <w:r>
        <w:t xml:space="preserve"> 71</w:t>
      </w:r>
      <w:r w:rsidR="00572E18">
        <w:t xml:space="preserve">, </w:t>
      </w:r>
      <w:proofErr w:type="spellStart"/>
      <w:r w:rsidR="009A7F82">
        <w:t>GASB</w:t>
      </w:r>
      <w:proofErr w:type="spellEnd"/>
      <w:r w:rsidR="009A7F82">
        <w:t xml:space="preserve"> 73, </w:t>
      </w:r>
      <w:proofErr w:type="spellStart"/>
      <w:r w:rsidR="009A7F82">
        <w:t>GASB</w:t>
      </w:r>
      <w:proofErr w:type="spellEnd"/>
      <w:r w:rsidR="009A7F82">
        <w:t xml:space="preserve"> 78, and </w:t>
      </w:r>
      <w:proofErr w:type="spellStart"/>
      <w:r w:rsidR="009A7F82">
        <w:t>GASB</w:t>
      </w:r>
      <w:proofErr w:type="spellEnd"/>
      <w:r w:rsidR="009A7F82">
        <w:t xml:space="preserve"> 82</w:t>
      </w:r>
      <w:r>
        <w:t xml:space="preserve">.  </w:t>
      </w:r>
      <w:r w:rsidR="004E2396">
        <w:t xml:space="preserve">I have waited to provide this information because </w:t>
      </w:r>
      <w:r w:rsidR="00F82285">
        <w:t xml:space="preserve">we </w:t>
      </w:r>
      <w:r w:rsidR="0018696C">
        <w:t xml:space="preserve">only </w:t>
      </w:r>
      <w:r w:rsidR="00F82285">
        <w:t xml:space="preserve">received word from </w:t>
      </w:r>
      <w:proofErr w:type="spellStart"/>
      <w:r w:rsidR="00F82285">
        <w:t>TCRS</w:t>
      </w:r>
      <w:proofErr w:type="spellEnd"/>
      <w:r w:rsidR="00F82285">
        <w:t xml:space="preserve"> </w:t>
      </w:r>
      <w:r w:rsidR="00364562">
        <w:t xml:space="preserve">this past week </w:t>
      </w:r>
      <w:r w:rsidR="00F72E43">
        <w:t xml:space="preserve">that all </w:t>
      </w:r>
      <w:r w:rsidR="00F82285">
        <w:t>the</w:t>
      </w:r>
      <w:r w:rsidR="004E2396">
        <w:t xml:space="preserve"> </w:t>
      </w:r>
      <w:r w:rsidR="00364562">
        <w:t xml:space="preserve">required </w:t>
      </w:r>
      <w:r w:rsidR="004E2396">
        <w:t xml:space="preserve">data from </w:t>
      </w:r>
      <w:proofErr w:type="spellStart"/>
      <w:r w:rsidR="004E2396">
        <w:t>TCRS</w:t>
      </w:r>
      <w:proofErr w:type="spellEnd"/>
      <w:r w:rsidR="004E2396">
        <w:t xml:space="preserve"> </w:t>
      </w:r>
      <w:r w:rsidR="00F82285">
        <w:t>is complete</w:t>
      </w:r>
      <w:r w:rsidR="004E2396">
        <w:t>.</w:t>
      </w:r>
      <w:r w:rsidR="009A7F82">
        <w:t xml:space="preserve">  </w:t>
      </w:r>
      <w:r w:rsidR="009A7F82" w:rsidRPr="003618A9">
        <w:rPr>
          <w:b/>
        </w:rPr>
        <w:t>Please forward this memo to those in your office who may be directly interested.</w:t>
      </w:r>
      <w:r w:rsidR="009A7F82">
        <w:t xml:space="preserve"> </w:t>
      </w:r>
    </w:p>
    <w:p w:rsidR="00663E83" w:rsidRDefault="00663E83" w:rsidP="00663E83">
      <w:pPr>
        <w:pStyle w:val="NoSpacing"/>
        <w:ind w:left="360"/>
        <w:jc w:val="both"/>
      </w:pPr>
    </w:p>
    <w:p w:rsidR="00663E5F" w:rsidRDefault="0019130C" w:rsidP="00421D50">
      <w:pPr>
        <w:pStyle w:val="NoSpacing"/>
        <w:numPr>
          <w:ilvl w:val="0"/>
          <w:numId w:val="13"/>
        </w:numPr>
        <w:jc w:val="both"/>
      </w:pPr>
      <w:r>
        <w:t xml:space="preserve">This is the first memo to be sent for the </w:t>
      </w:r>
      <w:r w:rsidR="00F82285">
        <w:t xml:space="preserve">fiscal year ended </w:t>
      </w:r>
      <w:r>
        <w:t xml:space="preserve">June 30, 2016.  However, the memos that were sent out last year relating to census data </w:t>
      </w:r>
      <w:r w:rsidR="006A459C">
        <w:t xml:space="preserve">testing </w:t>
      </w:r>
      <w:r>
        <w:t xml:space="preserve">are still accurate for the current year.  </w:t>
      </w:r>
      <w:r w:rsidR="002A46C7">
        <w:t xml:space="preserve">Current </w:t>
      </w:r>
      <w:r w:rsidR="005B5439">
        <w:t xml:space="preserve">year memos will be posted </w:t>
      </w:r>
      <w:r w:rsidR="002A46C7">
        <w:t xml:space="preserve">and prior year </w:t>
      </w:r>
      <w:r w:rsidR="006A459C">
        <w:t xml:space="preserve">pension </w:t>
      </w:r>
      <w:r w:rsidR="002A46C7">
        <w:t xml:space="preserve">memos can be found </w:t>
      </w:r>
      <w:r w:rsidR="00F72E43">
        <w:t>on</w:t>
      </w:r>
      <w:r w:rsidR="002A46C7">
        <w:t xml:space="preserve"> our w</w:t>
      </w:r>
      <w:r w:rsidR="00663E83">
        <w:t>ebsite</w:t>
      </w:r>
      <w:r w:rsidR="00720895">
        <w:t xml:space="preserve"> </w:t>
      </w:r>
      <w:proofErr w:type="gramStart"/>
      <w:r w:rsidR="00720895">
        <w:t xml:space="preserve">at  </w:t>
      </w:r>
      <w:proofErr w:type="gramEnd"/>
      <w:r w:rsidR="0080389F">
        <w:fldChar w:fldCharType="begin"/>
      </w:r>
      <w:r w:rsidR="0080389F">
        <w:instrText xml:space="preserve"> HYPERLINK "http://www.comptroller.tn.gov/la/Pensions.asp" </w:instrText>
      </w:r>
      <w:r w:rsidR="0080389F">
        <w:fldChar w:fldCharType="separate"/>
      </w:r>
      <w:r w:rsidR="00720895" w:rsidRPr="003A4060">
        <w:rPr>
          <w:rStyle w:val="Hyperlink"/>
        </w:rPr>
        <w:t>www.comptroller.tn.gov/la/Pensions.asp</w:t>
      </w:r>
      <w:r w:rsidR="0080389F">
        <w:rPr>
          <w:rStyle w:val="Hyperlink"/>
        </w:rPr>
        <w:fldChar w:fldCharType="end"/>
      </w:r>
      <w:r w:rsidR="00720895">
        <w:t xml:space="preserve"> </w:t>
      </w:r>
      <w:r w:rsidR="00663E83" w:rsidRPr="008675E2">
        <w:t>.</w:t>
      </w:r>
    </w:p>
    <w:p w:rsidR="005B6DB0" w:rsidRDefault="005B6DB0" w:rsidP="005B6DB0">
      <w:pPr>
        <w:pStyle w:val="NoSpacing"/>
        <w:ind w:left="360"/>
        <w:jc w:val="both"/>
      </w:pPr>
    </w:p>
    <w:p w:rsidR="00B017D6" w:rsidRDefault="00663E5F" w:rsidP="00421D50">
      <w:pPr>
        <w:pStyle w:val="NoSpacing"/>
        <w:numPr>
          <w:ilvl w:val="0"/>
          <w:numId w:val="13"/>
        </w:numPr>
        <w:jc w:val="both"/>
      </w:pPr>
      <w:r>
        <w:t xml:space="preserve">The question </w:t>
      </w:r>
      <w:r w:rsidR="00FA139A">
        <w:t>I am asked most often is</w:t>
      </w:r>
      <w:r w:rsidR="007A4C74">
        <w:t>,</w:t>
      </w:r>
      <w:r>
        <w:t xml:space="preserve"> </w:t>
      </w:r>
      <w:r w:rsidR="007A4C74">
        <w:t>“</w:t>
      </w:r>
      <w:r>
        <w:t xml:space="preserve">when will we receive </w:t>
      </w:r>
      <w:r w:rsidR="007A4C74">
        <w:t xml:space="preserve">the </w:t>
      </w:r>
      <w:r>
        <w:t>necessary opinions from State Audit</w:t>
      </w:r>
      <w:r w:rsidR="007A4C74">
        <w:t xml:space="preserve"> to complete our </w:t>
      </w:r>
      <w:proofErr w:type="spellStart"/>
      <w:r w:rsidR="007A4C74">
        <w:t>workpapers</w:t>
      </w:r>
      <w:proofErr w:type="spellEnd"/>
      <w:r w:rsidR="007A4C74">
        <w:t>?”</w:t>
      </w:r>
      <w:r>
        <w:t xml:space="preserve">  The short answer is, we do not know.  State Audit is waiting on information from </w:t>
      </w:r>
      <w:proofErr w:type="spellStart"/>
      <w:r>
        <w:t>TCRS</w:t>
      </w:r>
      <w:proofErr w:type="spellEnd"/>
      <w:r>
        <w:t xml:space="preserve"> that will </w:t>
      </w:r>
      <w:r w:rsidR="00F72E43">
        <w:t xml:space="preserve">allow them to </w:t>
      </w:r>
      <w:r w:rsidR="006161C9">
        <w:t>finish their work.</w:t>
      </w:r>
      <w:r w:rsidR="007A4C74">
        <w:t xml:space="preserve"> </w:t>
      </w:r>
      <w:r w:rsidR="008B11A7">
        <w:t xml:space="preserve">We believe the timeframe will be within the next three weeks.  </w:t>
      </w:r>
      <w:r w:rsidR="007A4C74">
        <w:t xml:space="preserve">We </w:t>
      </w:r>
      <w:r w:rsidR="00FA139A">
        <w:t>realize you are holding audits waiting for the</w:t>
      </w:r>
      <w:r w:rsidR="00F72E43">
        <w:t xml:space="preserve">se opinions and other </w:t>
      </w:r>
      <w:r w:rsidR="00FA139A">
        <w:t xml:space="preserve">information.  Our office is waiting as well. </w:t>
      </w:r>
      <w:r w:rsidR="00B62417">
        <w:t xml:space="preserve"> </w:t>
      </w:r>
      <w:r w:rsidR="00B017D6">
        <w:t>The information includes:</w:t>
      </w:r>
    </w:p>
    <w:p w:rsidR="00B017D6" w:rsidRDefault="00B017D6" w:rsidP="00B017D6">
      <w:pPr>
        <w:pStyle w:val="NoSpacing"/>
        <w:ind w:left="360"/>
        <w:jc w:val="both"/>
      </w:pPr>
    </w:p>
    <w:p w:rsidR="00B017D6" w:rsidRDefault="002F123B" w:rsidP="00B017D6">
      <w:pPr>
        <w:pStyle w:val="NoSpacing"/>
        <w:numPr>
          <w:ilvl w:val="1"/>
          <w:numId w:val="19"/>
        </w:numPr>
        <w:jc w:val="both"/>
      </w:pPr>
      <w:r>
        <w:t xml:space="preserve">State Audit’s </w:t>
      </w:r>
      <w:proofErr w:type="spellStart"/>
      <w:r>
        <w:t>w</w:t>
      </w:r>
      <w:r w:rsidR="00B017D6">
        <w:t>orkpapers</w:t>
      </w:r>
      <w:proofErr w:type="spellEnd"/>
      <w:r w:rsidR="00B017D6">
        <w:t xml:space="preserve"> related to the </w:t>
      </w:r>
      <w:r>
        <w:t>W</w:t>
      </w:r>
      <w:r w:rsidR="00B017D6">
        <w:t xml:space="preserve">ork of a </w:t>
      </w:r>
      <w:r>
        <w:t>S</w:t>
      </w:r>
      <w:r w:rsidR="00B017D6">
        <w:t xml:space="preserve">pecialist for </w:t>
      </w:r>
      <w:proofErr w:type="spellStart"/>
      <w:r w:rsidR="00B017D6">
        <w:t>TCRS’s</w:t>
      </w:r>
      <w:proofErr w:type="spellEnd"/>
      <w:r w:rsidR="00B017D6">
        <w:t xml:space="preserve"> Actuary</w:t>
      </w:r>
      <w:r w:rsidR="00EA654C">
        <w:t xml:space="preserve"> </w:t>
      </w:r>
      <w:r w:rsidR="00EA654C" w:rsidRPr="00EA654C">
        <w:rPr>
          <w:b/>
        </w:rPr>
        <w:t xml:space="preserve">(Available now, see number </w:t>
      </w:r>
      <w:r w:rsidR="003C57F4">
        <w:rPr>
          <w:b/>
        </w:rPr>
        <w:t>4</w:t>
      </w:r>
      <w:r w:rsidR="00EA654C" w:rsidRPr="00EA654C">
        <w:rPr>
          <w:b/>
        </w:rPr>
        <w:t xml:space="preserve"> below.)</w:t>
      </w:r>
    </w:p>
    <w:p w:rsidR="00EA654C" w:rsidRPr="00EA654C" w:rsidRDefault="00EA654C" w:rsidP="00B017D6">
      <w:pPr>
        <w:pStyle w:val="NoSpacing"/>
        <w:numPr>
          <w:ilvl w:val="1"/>
          <w:numId w:val="19"/>
        </w:numPr>
        <w:jc w:val="both"/>
        <w:rPr>
          <w:b/>
        </w:rPr>
      </w:pPr>
      <w:r>
        <w:t xml:space="preserve">Examination Engagement for Inactive and Retiree Census Data </w:t>
      </w:r>
      <w:r w:rsidRPr="00EA654C">
        <w:t>(i.e. Census Data maintained by the Plan)</w:t>
      </w:r>
      <w:r w:rsidRPr="00EA654C">
        <w:rPr>
          <w:b/>
        </w:rPr>
        <w:t xml:space="preserve"> (Available now, see number </w:t>
      </w:r>
      <w:r w:rsidR="003C57F4">
        <w:rPr>
          <w:b/>
        </w:rPr>
        <w:t>5</w:t>
      </w:r>
      <w:r w:rsidRPr="00EA654C">
        <w:rPr>
          <w:b/>
        </w:rPr>
        <w:t xml:space="preserve"> below.)</w:t>
      </w:r>
    </w:p>
    <w:p w:rsidR="00B017D6" w:rsidRDefault="00B017D6" w:rsidP="00B017D6">
      <w:pPr>
        <w:pStyle w:val="NoSpacing"/>
        <w:numPr>
          <w:ilvl w:val="1"/>
          <w:numId w:val="19"/>
        </w:numPr>
        <w:jc w:val="both"/>
      </w:pPr>
      <w:r>
        <w:t>Opinion on the Schedule of Changes in Fiduciary Net Position by Employer for Agent Employers.</w:t>
      </w:r>
    </w:p>
    <w:p w:rsidR="00B017D6" w:rsidRDefault="00B017D6" w:rsidP="00B017D6">
      <w:pPr>
        <w:pStyle w:val="NoSpacing"/>
        <w:numPr>
          <w:ilvl w:val="1"/>
          <w:numId w:val="19"/>
        </w:numPr>
        <w:jc w:val="both"/>
      </w:pPr>
      <w:r>
        <w:t>Opinion on Schedule of Employer Allocations for Cost-Sharing Employers.</w:t>
      </w:r>
    </w:p>
    <w:p w:rsidR="00B017D6" w:rsidRDefault="00B017D6" w:rsidP="00B017D6">
      <w:pPr>
        <w:pStyle w:val="NoSpacing"/>
        <w:numPr>
          <w:ilvl w:val="1"/>
          <w:numId w:val="19"/>
        </w:numPr>
        <w:jc w:val="both"/>
      </w:pPr>
      <w:r>
        <w:t>Opinion of Schedule of Pension Amounts for Cost-Sharing Employers.</w:t>
      </w:r>
    </w:p>
    <w:p w:rsidR="00B62417" w:rsidRDefault="00B62417" w:rsidP="00B62417">
      <w:pPr>
        <w:pStyle w:val="NoSpacing"/>
        <w:ind w:left="360"/>
        <w:jc w:val="both"/>
      </w:pPr>
    </w:p>
    <w:p w:rsidR="00E7051A" w:rsidRDefault="00E7051A" w:rsidP="00B62417">
      <w:pPr>
        <w:pStyle w:val="NoSpacing"/>
        <w:ind w:left="360"/>
        <w:jc w:val="both"/>
      </w:pPr>
    </w:p>
    <w:p w:rsidR="0085521D" w:rsidRDefault="0085521D" w:rsidP="00421D50">
      <w:pPr>
        <w:pStyle w:val="NoSpacing"/>
        <w:numPr>
          <w:ilvl w:val="0"/>
          <w:numId w:val="13"/>
        </w:numPr>
        <w:jc w:val="both"/>
      </w:pPr>
      <w:r>
        <w:t xml:space="preserve">While the above information is not yet available, no matters have surfaced that would indicate specific problems with the overall conclusions about these matters.  This knowledge may allow you to proceed with financial statement preparation if you are at that stage of completion. </w:t>
      </w:r>
      <w:r w:rsidR="00F104B8">
        <w:t>However, a</w:t>
      </w:r>
      <w:r>
        <w:t>uditor</w:t>
      </w:r>
      <w:r w:rsidR="00F104B8">
        <w:t>s</w:t>
      </w:r>
      <w:r>
        <w:t xml:space="preserve"> should </w:t>
      </w:r>
      <w:r w:rsidRPr="00E7064B">
        <w:rPr>
          <w:b/>
          <w:i/>
          <w:u w:val="single"/>
        </w:rPr>
        <w:t>not</w:t>
      </w:r>
      <w:r>
        <w:t xml:space="preserve"> issue </w:t>
      </w:r>
      <w:r w:rsidR="004817E5">
        <w:t xml:space="preserve">opinions on </w:t>
      </w:r>
      <w:r>
        <w:t xml:space="preserve">financial statements until the opinions </w:t>
      </w:r>
      <w:r w:rsidR="00E7064B">
        <w:t xml:space="preserve">from State Audit </w:t>
      </w:r>
      <w:r>
        <w:t xml:space="preserve">are issued and other information is available in final form.  In addition, your </w:t>
      </w:r>
      <w:proofErr w:type="spellStart"/>
      <w:r>
        <w:t>workpapers</w:t>
      </w:r>
      <w:proofErr w:type="spellEnd"/>
      <w:r>
        <w:t xml:space="preserve"> should </w:t>
      </w:r>
      <w:r w:rsidRPr="004F12FF">
        <w:rPr>
          <w:b/>
          <w:i/>
        </w:rPr>
        <w:t>not</w:t>
      </w:r>
      <w:r>
        <w:t xml:space="preserve"> be considered complete unless the above information has been considered and related to the employer financial statement opinions.  Auditors should include the above information in their audit documentation and internally reference these documents to financial reports.  The information provided by the Actuary in the Actuarial Report should be traced to the Notes, Journal Entries, and RSI provided by </w:t>
      </w:r>
      <w:proofErr w:type="spellStart"/>
      <w:r>
        <w:t>TCRS</w:t>
      </w:r>
      <w:proofErr w:type="spellEnd"/>
      <w:r>
        <w:t xml:space="preserve">.   It would be very easy for </w:t>
      </w:r>
      <w:proofErr w:type="spellStart"/>
      <w:r>
        <w:t>TCRS</w:t>
      </w:r>
      <w:proofErr w:type="spellEnd"/>
      <w:r>
        <w:t xml:space="preserve"> to have made errors when transferring information from the Actuarial Report to the Notes, Journal Entries, and RSI.  Each government covered under an agent plan will have its own unique Actuarial Report for each separate plan.  Governments covered under the Cost-Sharing plans will only have one </w:t>
      </w:r>
      <w:r w:rsidR="00230853">
        <w:t xml:space="preserve">collective </w:t>
      </w:r>
      <w:r>
        <w:t>Actuarial Report.</w:t>
      </w:r>
    </w:p>
    <w:p w:rsidR="000D1E7D" w:rsidRPr="000D1E7D" w:rsidRDefault="000D1E7D" w:rsidP="000D1E7D">
      <w:pPr>
        <w:pStyle w:val="NoSpacing"/>
        <w:ind w:left="360"/>
        <w:jc w:val="both"/>
        <w:rPr>
          <w:b/>
        </w:rPr>
      </w:pPr>
    </w:p>
    <w:p w:rsidR="00EA654C" w:rsidRPr="000D1E7D" w:rsidRDefault="00EA654C" w:rsidP="00421D50">
      <w:pPr>
        <w:pStyle w:val="NoSpacing"/>
        <w:numPr>
          <w:ilvl w:val="0"/>
          <w:numId w:val="13"/>
        </w:numPr>
        <w:jc w:val="both"/>
        <w:rPr>
          <w:b/>
        </w:rPr>
      </w:pPr>
      <w:r>
        <w:t xml:space="preserve">State Audit’s </w:t>
      </w:r>
      <w:proofErr w:type="spellStart"/>
      <w:r>
        <w:t>workpaper</w:t>
      </w:r>
      <w:proofErr w:type="spellEnd"/>
      <w:r>
        <w:t xml:space="preserve"> conclusion related to the Work of a Specialist</w:t>
      </w:r>
      <w:r w:rsidR="000D1E7D">
        <w:t xml:space="preserve"> will be posted on Local Government Audit’s website next week.  </w:t>
      </w:r>
      <w:r w:rsidR="000D1E7D" w:rsidRPr="000D1E7D">
        <w:rPr>
          <w:b/>
        </w:rPr>
        <w:t xml:space="preserve">It is attached with this memo for your convenience.  </w:t>
      </w:r>
    </w:p>
    <w:p w:rsidR="005B6DB0" w:rsidRDefault="005B6DB0" w:rsidP="005B6DB0">
      <w:pPr>
        <w:pStyle w:val="ListParagraph"/>
      </w:pPr>
    </w:p>
    <w:p w:rsidR="008B11A7" w:rsidRDefault="00EC5283" w:rsidP="00421D50">
      <w:pPr>
        <w:pStyle w:val="NoSpacing"/>
        <w:numPr>
          <w:ilvl w:val="0"/>
          <w:numId w:val="13"/>
        </w:numPr>
        <w:jc w:val="both"/>
      </w:pPr>
      <w:r>
        <w:t xml:space="preserve">State Audit’s </w:t>
      </w:r>
      <w:r w:rsidR="002735C1" w:rsidRPr="00E62C3C">
        <w:rPr>
          <w:u w:val="single"/>
        </w:rPr>
        <w:t>Opinion o</w:t>
      </w:r>
      <w:r w:rsidR="007C7901">
        <w:rPr>
          <w:u w:val="single"/>
        </w:rPr>
        <w:t>n</w:t>
      </w:r>
      <w:r w:rsidR="002735C1" w:rsidRPr="00E62C3C">
        <w:rPr>
          <w:u w:val="single"/>
        </w:rPr>
        <w:t xml:space="preserve"> Census Data for Political Subdivisions and State </w:t>
      </w:r>
      <w:r w:rsidRPr="00E62C3C">
        <w:rPr>
          <w:u w:val="single"/>
        </w:rPr>
        <w:t>Government</w:t>
      </w:r>
      <w:r w:rsidR="002735C1">
        <w:t xml:space="preserve"> </w:t>
      </w:r>
      <w:r w:rsidR="006161C9">
        <w:t xml:space="preserve">is already on </w:t>
      </w:r>
      <w:r w:rsidR="00E62C3C">
        <w:t xml:space="preserve">the </w:t>
      </w:r>
      <w:proofErr w:type="spellStart"/>
      <w:r w:rsidR="006161C9">
        <w:t>TCRS</w:t>
      </w:r>
      <w:proofErr w:type="spellEnd"/>
      <w:r w:rsidR="006161C9">
        <w:t xml:space="preserve"> website at   </w:t>
      </w:r>
      <w:hyperlink r:id="rId9" w:history="1">
        <w:r w:rsidR="00E446BA" w:rsidRPr="0004179E">
          <w:rPr>
            <w:rStyle w:val="Hyperlink"/>
          </w:rPr>
          <w:t>https://publicreports.treasury.tn.gov/</w:t>
        </w:r>
      </w:hyperlink>
      <w:proofErr w:type="gramStart"/>
      <w:r w:rsidR="00E446BA">
        <w:t xml:space="preserve"> </w:t>
      </w:r>
      <w:proofErr w:type="gramEnd"/>
      <w:r w:rsidR="00E446BA">
        <w:t xml:space="preserve"> .  This opinion </w:t>
      </w:r>
      <w:r w:rsidR="00075E59">
        <w:t xml:space="preserve">dated August 19, 2016, </w:t>
      </w:r>
      <w:r w:rsidR="00E446BA">
        <w:t xml:space="preserve">relates to the census data for </w:t>
      </w:r>
      <w:r w:rsidR="005B6DB0">
        <w:t xml:space="preserve">the plans including </w:t>
      </w:r>
      <w:r w:rsidR="005B6DB0" w:rsidRPr="00EC5283">
        <w:rPr>
          <w:u w:val="single"/>
        </w:rPr>
        <w:t>inactive and retirees</w:t>
      </w:r>
      <w:r w:rsidR="005B6DB0">
        <w:t xml:space="preserve">.  </w:t>
      </w:r>
      <w:r>
        <w:t>The same report was dated September 22, 2015 last year.</w:t>
      </w:r>
    </w:p>
    <w:p w:rsidR="008B11A7" w:rsidRDefault="008B11A7" w:rsidP="008B11A7">
      <w:pPr>
        <w:pStyle w:val="ListParagraph"/>
      </w:pPr>
    </w:p>
    <w:p w:rsidR="008B11A7" w:rsidRPr="00F329C7" w:rsidRDefault="008B11A7" w:rsidP="00421D50">
      <w:pPr>
        <w:pStyle w:val="ListParagraph"/>
        <w:numPr>
          <w:ilvl w:val="0"/>
          <w:numId w:val="13"/>
        </w:numPr>
        <w:autoSpaceDE w:val="0"/>
        <w:autoSpaceDN w:val="0"/>
        <w:adjustRightInd w:val="0"/>
        <w:jc w:val="both"/>
        <w:rPr>
          <w:rFonts w:cs="TT222t00"/>
          <w:szCs w:val="22"/>
        </w:rPr>
      </w:pPr>
      <w:r>
        <w:t xml:space="preserve">The </w:t>
      </w:r>
      <w:r w:rsidR="00EA654C">
        <w:t>E</w:t>
      </w:r>
      <w:r>
        <w:t xml:space="preserve">mployer </w:t>
      </w:r>
      <w:r w:rsidR="00EA654C">
        <w:t>R</w:t>
      </w:r>
      <w:r>
        <w:t xml:space="preserve">esponsibilities </w:t>
      </w:r>
      <w:r w:rsidR="00EA654C">
        <w:t>M</w:t>
      </w:r>
      <w:r>
        <w:t>emo that deals with employer responsibilities under the AICPA Whitepaper</w:t>
      </w:r>
      <w:r w:rsidR="00ED00F3">
        <w:t>s is complete</w:t>
      </w:r>
      <w:r>
        <w:t xml:space="preserve">. </w:t>
      </w:r>
      <w:r w:rsidRPr="00F329C7">
        <w:rPr>
          <w:rFonts w:cs="TT222t00"/>
          <w:szCs w:val="22"/>
        </w:rPr>
        <w:t xml:space="preserve">The template memo </w:t>
      </w:r>
      <w:r>
        <w:rPr>
          <w:rFonts w:cs="TT222t00"/>
          <w:szCs w:val="22"/>
        </w:rPr>
        <w:t>should</w:t>
      </w:r>
      <w:r w:rsidRPr="00F329C7">
        <w:rPr>
          <w:rFonts w:cs="TT222t00"/>
          <w:szCs w:val="22"/>
        </w:rPr>
        <w:t xml:space="preserve"> be posted on Local Government Audit’s website</w:t>
      </w:r>
      <w:r>
        <w:rPr>
          <w:rFonts w:cs="TT222t00"/>
          <w:szCs w:val="22"/>
        </w:rPr>
        <w:t xml:space="preserve"> next week</w:t>
      </w:r>
      <w:r w:rsidRPr="00F329C7">
        <w:rPr>
          <w:rFonts w:cs="TT222t00"/>
          <w:szCs w:val="22"/>
        </w:rPr>
        <w:t>.</w:t>
      </w:r>
      <w:r>
        <w:rPr>
          <w:rFonts w:cs="TT222t00"/>
          <w:szCs w:val="22"/>
        </w:rPr>
        <w:t xml:space="preserve">  </w:t>
      </w:r>
      <w:r w:rsidRPr="008B11A7">
        <w:rPr>
          <w:rFonts w:cs="TT222t00"/>
          <w:b/>
          <w:szCs w:val="22"/>
        </w:rPr>
        <w:t xml:space="preserve">It is </w:t>
      </w:r>
      <w:r w:rsidR="00EA654C">
        <w:rPr>
          <w:rFonts w:cs="TT222t00"/>
          <w:b/>
          <w:szCs w:val="22"/>
        </w:rPr>
        <w:t xml:space="preserve">also </w:t>
      </w:r>
      <w:r w:rsidRPr="008B11A7">
        <w:rPr>
          <w:rFonts w:cs="TT222t00"/>
          <w:b/>
          <w:szCs w:val="22"/>
        </w:rPr>
        <w:t>attached with this memo</w:t>
      </w:r>
      <w:r w:rsidR="003439AC">
        <w:rPr>
          <w:rFonts w:cs="TT222t00"/>
          <w:b/>
          <w:szCs w:val="22"/>
        </w:rPr>
        <w:t xml:space="preserve"> for your convenience</w:t>
      </w:r>
      <w:r>
        <w:rPr>
          <w:rFonts w:cs="TT222t00"/>
          <w:szCs w:val="22"/>
        </w:rPr>
        <w:t>.</w:t>
      </w:r>
    </w:p>
    <w:p w:rsidR="004E2396" w:rsidRDefault="004E2396" w:rsidP="009B5814">
      <w:pPr>
        <w:pStyle w:val="NoSpacing"/>
        <w:jc w:val="both"/>
      </w:pPr>
    </w:p>
    <w:p w:rsidR="00570665" w:rsidRDefault="003A5A1B" w:rsidP="00421D50">
      <w:pPr>
        <w:pStyle w:val="NoSpacing"/>
        <w:numPr>
          <w:ilvl w:val="0"/>
          <w:numId w:val="13"/>
        </w:numPr>
        <w:jc w:val="both"/>
      </w:pPr>
      <w:r>
        <w:t>T</w:t>
      </w:r>
      <w:r w:rsidR="004E2396">
        <w:t>he necessary Actuary/</w:t>
      </w:r>
      <w:proofErr w:type="spellStart"/>
      <w:r w:rsidR="004E2396">
        <w:t>TCRS</w:t>
      </w:r>
      <w:proofErr w:type="spellEnd"/>
      <w:r w:rsidR="004E2396">
        <w:t xml:space="preserve"> </w:t>
      </w:r>
      <w:r w:rsidR="00F72E43">
        <w:t xml:space="preserve">financial statement </w:t>
      </w:r>
      <w:r w:rsidR="004E2396">
        <w:t xml:space="preserve">information </w:t>
      </w:r>
      <w:r w:rsidR="00F72E43">
        <w:t xml:space="preserve">(Journal Entries, Notes to Financial Statements, and RSI) </w:t>
      </w:r>
      <w:r w:rsidR="004E2396">
        <w:t xml:space="preserve">is </w:t>
      </w:r>
      <w:r w:rsidR="00F72E43">
        <w:t xml:space="preserve">currently </w:t>
      </w:r>
      <w:r w:rsidR="004E2396">
        <w:t xml:space="preserve">available on the </w:t>
      </w:r>
      <w:proofErr w:type="spellStart"/>
      <w:r w:rsidR="004E2396">
        <w:t>TCRS</w:t>
      </w:r>
      <w:proofErr w:type="spellEnd"/>
      <w:r w:rsidR="004E2396">
        <w:t xml:space="preserve"> website </w:t>
      </w:r>
      <w:hyperlink r:id="rId10" w:history="1">
        <w:r w:rsidR="00720895" w:rsidRPr="00325382">
          <w:rPr>
            <w:rStyle w:val="Hyperlink"/>
          </w:rPr>
          <w:t>www.treasury.state.tn.us/tcrs</w:t>
        </w:r>
      </w:hyperlink>
      <w:r w:rsidR="007B7649">
        <w:t xml:space="preserve">   </w:t>
      </w:r>
      <w:r w:rsidR="00F72E43">
        <w:t xml:space="preserve">for most entities </w:t>
      </w:r>
      <w:r w:rsidR="004E2396">
        <w:t xml:space="preserve">under the description </w:t>
      </w:r>
      <w:r w:rsidR="007B7649">
        <w:t>“</w:t>
      </w:r>
      <w:proofErr w:type="spellStart"/>
      <w:r w:rsidR="004E2396">
        <w:t>GASB</w:t>
      </w:r>
      <w:proofErr w:type="spellEnd"/>
      <w:r w:rsidR="00CB5201">
        <w:t xml:space="preserve"> 68 </w:t>
      </w:r>
      <w:r w:rsidR="007B7649">
        <w:t>Information”</w:t>
      </w:r>
      <w:r w:rsidR="004E2396">
        <w:t xml:space="preserve"> </w:t>
      </w:r>
      <w:r w:rsidR="00CB5201">
        <w:t>on the left side of the</w:t>
      </w:r>
      <w:r w:rsidR="007B7649">
        <w:t xml:space="preserve"> page.</w:t>
      </w:r>
      <w:r w:rsidR="009F38B1">
        <w:t xml:space="preserve">  When this site is opened, </w:t>
      </w:r>
      <w:r w:rsidR="00B415A3">
        <w:t xml:space="preserve">click on Public Reports.  You </w:t>
      </w:r>
      <w:r w:rsidR="007C7901">
        <w:t>can</w:t>
      </w:r>
      <w:r w:rsidR="00B415A3">
        <w:t xml:space="preserve"> search for your particular entity</w:t>
      </w:r>
      <w:r w:rsidR="00C465A5">
        <w:t xml:space="preserve"> by name or account number</w:t>
      </w:r>
      <w:r w:rsidR="00B415A3">
        <w:t xml:space="preserve">.  The large searchable PDF files utilized </w:t>
      </w:r>
      <w:r w:rsidR="00795B3E">
        <w:t xml:space="preserve">by </w:t>
      </w:r>
      <w:proofErr w:type="spellStart"/>
      <w:r w:rsidR="00B415A3">
        <w:t>TCRS</w:t>
      </w:r>
      <w:proofErr w:type="spellEnd"/>
      <w:r w:rsidR="00B415A3">
        <w:t xml:space="preserve"> last year </w:t>
      </w:r>
      <w:r w:rsidR="00B415A3" w:rsidRPr="004F37D6">
        <w:rPr>
          <w:b/>
          <w:i/>
          <w:u w:val="single"/>
        </w:rPr>
        <w:t>no</w:t>
      </w:r>
      <w:r w:rsidR="00B415A3">
        <w:t xml:space="preserve"> longer </w:t>
      </w:r>
      <w:r w:rsidR="0002161D">
        <w:t>exist</w:t>
      </w:r>
      <w:r w:rsidR="00B415A3">
        <w:t>.</w:t>
      </w:r>
    </w:p>
    <w:p w:rsidR="00A57359" w:rsidRDefault="00A57359" w:rsidP="009B5814">
      <w:pPr>
        <w:pStyle w:val="ListParagraph"/>
        <w:jc w:val="both"/>
      </w:pPr>
    </w:p>
    <w:p w:rsidR="00853501" w:rsidRPr="00853501" w:rsidRDefault="001C5D77" w:rsidP="00421D50">
      <w:pPr>
        <w:pStyle w:val="NoSpacing"/>
        <w:numPr>
          <w:ilvl w:val="0"/>
          <w:numId w:val="13"/>
        </w:numPr>
        <w:jc w:val="both"/>
        <w:rPr>
          <w:b/>
        </w:rPr>
      </w:pPr>
      <w:r>
        <w:t xml:space="preserve">Information is provided for individual Charter Schools this year.  </w:t>
      </w:r>
      <w:r w:rsidR="007B314D">
        <w:t>Information for the   Achieve</w:t>
      </w:r>
      <w:r w:rsidR="00E7064B">
        <w:t>ment</w:t>
      </w:r>
      <w:r w:rsidR="007B314D">
        <w:t xml:space="preserve"> School District</w:t>
      </w:r>
      <w:r w:rsidR="00487935">
        <w:t xml:space="preserve"> (</w:t>
      </w:r>
      <w:proofErr w:type="spellStart"/>
      <w:r w:rsidR="00487935">
        <w:t>ASD</w:t>
      </w:r>
      <w:proofErr w:type="spellEnd"/>
      <w:r w:rsidR="00487935">
        <w:t>)</w:t>
      </w:r>
      <w:r w:rsidR="00F72E43">
        <w:t>,</w:t>
      </w:r>
      <w:r w:rsidR="007B314D">
        <w:t xml:space="preserve"> as a whole</w:t>
      </w:r>
      <w:r w:rsidR="00F72E43">
        <w:t>,</w:t>
      </w:r>
      <w:r w:rsidR="007B314D">
        <w:t xml:space="preserve"> is presented on </w:t>
      </w:r>
      <w:proofErr w:type="spellStart"/>
      <w:r w:rsidR="007B314D">
        <w:t>TCRS</w:t>
      </w:r>
      <w:r w:rsidR="00487935">
        <w:t>’s</w:t>
      </w:r>
      <w:proofErr w:type="spellEnd"/>
      <w:r w:rsidR="007B314D">
        <w:t xml:space="preserve"> website at </w:t>
      </w:r>
      <w:hyperlink r:id="rId11" w:history="1">
        <w:r w:rsidR="00487935" w:rsidRPr="00A40F04">
          <w:rPr>
            <w:rStyle w:val="Hyperlink"/>
          </w:rPr>
          <w:t>https://publicreports.treasury.tn.gov/Home/LEA</w:t>
        </w:r>
      </w:hyperlink>
      <w:r w:rsidR="00487935">
        <w:t xml:space="preserve"> .  </w:t>
      </w:r>
      <w:r>
        <w:t xml:space="preserve">Detailed information for </w:t>
      </w:r>
      <w:r w:rsidR="00487935">
        <w:t xml:space="preserve">individual </w:t>
      </w:r>
      <w:proofErr w:type="spellStart"/>
      <w:r w:rsidR="0065398C">
        <w:t>ASD</w:t>
      </w:r>
      <w:proofErr w:type="spellEnd"/>
      <w:r w:rsidR="0065398C">
        <w:t xml:space="preserve"> </w:t>
      </w:r>
      <w:r>
        <w:t>Schools</w:t>
      </w:r>
      <w:r w:rsidR="00A22C1C">
        <w:t xml:space="preserve"> is </w:t>
      </w:r>
      <w:r w:rsidR="003D36CD">
        <w:t xml:space="preserve">currently </w:t>
      </w:r>
      <w:r w:rsidR="00A22C1C" w:rsidRPr="0018696C">
        <w:rPr>
          <w:b/>
          <w:i/>
          <w:u w:val="single"/>
        </w:rPr>
        <w:t>not</w:t>
      </w:r>
      <w:r w:rsidR="00A22C1C" w:rsidRPr="0018696C">
        <w:t xml:space="preserve"> </w:t>
      </w:r>
      <w:r w:rsidR="00A22C1C">
        <w:t>available</w:t>
      </w:r>
      <w:r w:rsidR="003D36CD">
        <w:t>.</w:t>
      </w:r>
      <w:r w:rsidR="0065398C">
        <w:t xml:space="preserve"> </w:t>
      </w:r>
      <w:r w:rsidR="00487935">
        <w:t xml:space="preserve">  </w:t>
      </w:r>
      <w:r w:rsidR="0065398C">
        <w:t xml:space="preserve">However, </w:t>
      </w:r>
      <w:proofErr w:type="spellStart"/>
      <w:r w:rsidR="0065398C">
        <w:t>TCRS</w:t>
      </w:r>
      <w:proofErr w:type="spellEnd"/>
      <w:r w:rsidR="0065398C">
        <w:t xml:space="preserve"> has prepared a breakdown of contributions for </w:t>
      </w:r>
      <w:r w:rsidR="007B314D">
        <w:t xml:space="preserve">the individual </w:t>
      </w:r>
      <w:proofErr w:type="spellStart"/>
      <w:r w:rsidR="007B314D">
        <w:t>ASD</w:t>
      </w:r>
      <w:proofErr w:type="spellEnd"/>
      <w:r w:rsidR="007B314D">
        <w:t xml:space="preserve"> Schools</w:t>
      </w:r>
      <w:r w:rsidR="003D36CD">
        <w:t>.</w:t>
      </w:r>
      <w:r w:rsidR="007B314D">
        <w:t xml:space="preserve"> </w:t>
      </w:r>
      <w:r w:rsidR="003D36CD">
        <w:t xml:space="preserve">  </w:t>
      </w:r>
      <w:r w:rsidR="007846C9">
        <w:t xml:space="preserve">The </w:t>
      </w:r>
      <w:proofErr w:type="spellStart"/>
      <w:r w:rsidR="007846C9">
        <w:t>ASD</w:t>
      </w:r>
      <w:proofErr w:type="spellEnd"/>
      <w:r w:rsidR="007846C9">
        <w:t xml:space="preserve"> contributions information </w:t>
      </w:r>
      <w:r w:rsidR="00C316F2">
        <w:t>will be</w:t>
      </w:r>
      <w:r w:rsidR="007846C9">
        <w:t xml:space="preserve"> available</w:t>
      </w:r>
      <w:r w:rsidR="00853501">
        <w:t xml:space="preserve"> </w:t>
      </w:r>
      <w:r w:rsidR="007846C9">
        <w:t>on</w:t>
      </w:r>
      <w:r w:rsidR="00853501">
        <w:t xml:space="preserve"> </w:t>
      </w:r>
      <w:r w:rsidR="007846C9">
        <w:t xml:space="preserve">Local Government Audit’s website </w:t>
      </w:r>
      <w:r w:rsidR="00C316F2">
        <w:t>next week</w:t>
      </w:r>
      <w:r w:rsidR="005F7511">
        <w:t>.</w:t>
      </w:r>
      <w:r w:rsidR="00243131">
        <w:t xml:space="preserve"> </w:t>
      </w:r>
      <w:r w:rsidR="003439AC" w:rsidRPr="003439AC">
        <w:rPr>
          <w:b/>
        </w:rPr>
        <w:t xml:space="preserve">It is also attached with this memo for your convenience. </w:t>
      </w:r>
      <w:r w:rsidR="003439AC">
        <w:t xml:space="preserve"> </w:t>
      </w:r>
      <w:r w:rsidR="007B314D">
        <w:t xml:space="preserve">CPAs may use </w:t>
      </w:r>
      <w:r w:rsidR="003D36CD">
        <w:t xml:space="preserve">this breakdown </w:t>
      </w:r>
      <w:r w:rsidR="007B314D">
        <w:t>to prepare Journal Entries, Notes to Financial Statements, and</w:t>
      </w:r>
      <w:r w:rsidR="003D36CD">
        <w:t xml:space="preserve"> RSI</w:t>
      </w:r>
      <w:r w:rsidR="007F53C3">
        <w:t xml:space="preserve"> for the individual schools</w:t>
      </w:r>
      <w:r w:rsidR="003618A9">
        <w:t>.</w:t>
      </w:r>
      <w:r w:rsidR="007C7901">
        <w:t xml:space="preserve">  </w:t>
      </w:r>
    </w:p>
    <w:p w:rsidR="00853501" w:rsidRDefault="00853501" w:rsidP="00853501">
      <w:pPr>
        <w:pStyle w:val="ListParagraph"/>
      </w:pPr>
    </w:p>
    <w:p w:rsidR="00E7051A" w:rsidRDefault="00E7051A" w:rsidP="00853501">
      <w:pPr>
        <w:pStyle w:val="NoSpacing"/>
        <w:ind w:left="360"/>
        <w:jc w:val="both"/>
      </w:pPr>
    </w:p>
    <w:p w:rsidR="00E7051A" w:rsidRDefault="00E7051A" w:rsidP="00853501">
      <w:pPr>
        <w:pStyle w:val="NoSpacing"/>
        <w:ind w:left="360"/>
        <w:jc w:val="both"/>
      </w:pPr>
    </w:p>
    <w:p w:rsidR="004E5148" w:rsidRPr="004E5148" w:rsidRDefault="00D967A5" w:rsidP="00853501">
      <w:pPr>
        <w:pStyle w:val="NoSpacing"/>
        <w:ind w:left="360"/>
        <w:jc w:val="both"/>
        <w:rPr>
          <w:b/>
        </w:rPr>
      </w:pPr>
      <w:r>
        <w:lastRenderedPageBreak/>
        <w:t xml:space="preserve">If you have questions about </w:t>
      </w:r>
      <w:r w:rsidR="00D30F55">
        <w:t>Actuary/</w:t>
      </w:r>
      <w:proofErr w:type="spellStart"/>
      <w:r w:rsidR="00BA61AD">
        <w:t>TCRS</w:t>
      </w:r>
      <w:proofErr w:type="spellEnd"/>
      <w:r w:rsidR="00BA61AD">
        <w:t xml:space="preserve"> </w:t>
      </w:r>
      <w:r w:rsidR="00D30F55">
        <w:t xml:space="preserve">reported entries or </w:t>
      </w:r>
      <w:r>
        <w:t xml:space="preserve">entities you should contact </w:t>
      </w:r>
      <w:proofErr w:type="spellStart"/>
      <w:r>
        <w:t>TCRS</w:t>
      </w:r>
      <w:proofErr w:type="spellEnd"/>
      <w:r>
        <w:t xml:space="preserve"> directly.  </w:t>
      </w:r>
      <w:r w:rsidR="0055608B">
        <w:t xml:space="preserve">The best contact at </w:t>
      </w:r>
      <w:proofErr w:type="spellStart"/>
      <w:r w:rsidR="0055608B">
        <w:t>TCRS</w:t>
      </w:r>
      <w:proofErr w:type="spellEnd"/>
      <w:r w:rsidR="0055608B">
        <w:t xml:space="preserve"> </w:t>
      </w:r>
      <w:r w:rsidR="00A22DAB">
        <w:t>is Mary Collins, Manager of Employer Pension Accounting,</w:t>
      </w:r>
      <w:r w:rsidR="00E16E1F">
        <w:t xml:space="preserve"> at</w:t>
      </w:r>
      <w:r w:rsidR="00A22DAB">
        <w:t xml:space="preserve"> </w:t>
      </w:r>
      <w:hyperlink r:id="rId12" w:history="1">
        <w:r w:rsidR="00A22DAB" w:rsidRPr="003F6DFF">
          <w:rPr>
            <w:rStyle w:val="Hyperlink"/>
          </w:rPr>
          <w:t>Mary.Collins@tn.gov</w:t>
        </w:r>
      </w:hyperlink>
      <w:r w:rsidR="00A22DAB">
        <w:t xml:space="preserve"> </w:t>
      </w:r>
      <w:r w:rsidR="000B4193">
        <w:t xml:space="preserve"> </w:t>
      </w:r>
      <w:proofErr w:type="gramStart"/>
      <w:r w:rsidR="00A22DAB">
        <w:t xml:space="preserve">or </w:t>
      </w:r>
      <w:r w:rsidR="000B4193">
        <w:t xml:space="preserve"> </w:t>
      </w:r>
      <w:r w:rsidR="00A22DAB">
        <w:t>615.770.1744</w:t>
      </w:r>
      <w:proofErr w:type="gramEnd"/>
      <w:r w:rsidR="00A22DAB">
        <w:t xml:space="preserve">. </w:t>
      </w:r>
    </w:p>
    <w:p w:rsidR="004E5148" w:rsidRDefault="004E5148" w:rsidP="004E5148">
      <w:pPr>
        <w:pStyle w:val="NoSpacing"/>
        <w:ind w:left="360"/>
        <w:jc w:val="both"/>
      </w:pPr>
    </w:p>
    <w:p w:rsidR="00A57359" w:rsidRPr="004E5148" w:rsidRDefault="004E5148" w:rsidP="004E5148">
      <w:pPr>
        <w:pStyle w:val="NoSpacing"/>
        <w:ind w:left="360"/>
        <w:jc w:val="both"/>
        <w:rPr>
          <w:b/>
          <w:color w:val="C00000"/>
        </w:rPr>
      </w:pPr>
      <w:r w:rsidRPr="004E5148">
        <w:rPr>
          <w:b/>
          <w:i/>
          <w:color w:val="C00000"/>
        </w:rPr>
        <w:t>Please Note:</w:t>
      </w:r>
      <w:r w:rsidRPr="004E5148">
        <w:rPr>
          <w:color w:val="C00000"/>
        </w:rPr>
        <w:t xml:space="preserve">  </w:t>
      </w:r>
      <w:r w:rsidR="00D967A5" w:rsidRPr="004E5148">
        <w:rPr>
          <w:b/>
          <w:color w:val="C00000"/>
        </w:rPr>
        <w:t xml:space="preserve">The </w:t>
      </w:r>
      <w:r w:rsidR="00D967A5" w:rsidRPr="004E5148">
        <w:rPr>
          <w:b/>
          <w:color w:val="C00000"/>
          <w:u w:val="single"/>
        </w:rPr>
        <w:t>Division of Local Government Audit</w:t>
      </w:r>
      <w:r w:rsidR="00D967A5" w:rsidRPr="004E5148">
        <w:rPr>
          <w:b/>
          <w:color w:val="C00000"/>
        </w:rPr>
        <w:t xml:space="preserve"> did not </w:t>
      </w:r>
      <w:r w:rsidR="00D30F55">
        <w:rPr>
          <w:b/>
          <w:color w:val="C00000"/>
        </w:rPr>
        <w:t>prepare</w:t>
      </w:r>
      <w:r w:rsidR="00D967A5" w:rsidRPr="004E5148">
        <w:rPr>
          <w:b/>
          <w:color w:val="C00000"/>
        </w:rPr>
        <w:t xml:space="preserve"> the </w:t>
      </w:r>
      <w:r w:rsidRPr="004E5148">
        <w:rPr>
          <w:b/>
          <w:color w:val="C00000"/>
        </w:rPr>
        <w:t xml:space="preserve">Journal Entries, Notes to Financial Statements, RSI, etc. </w:t>
      </w:r>
      <w:r w:rsidR="00D967A5" w:rsidRPr="004E5148">
        <w:rPr>
          <w:b/>
          <w:color w:val="C00000"/>
        </w:rPr>
        <w:t xml:space="preserve">and </w:t>
      </w:r>
      <w:r w:rsidR="0029539A" w:rsidRPr="004E5148">
        <w:rPr>
          <w:b/>
          <w:color w:val="C00000"/>
        </w:rPr>
        <w:t xml:space="preserve">in most cases </w:t>
      </w:r>
      <w:r w:rsidR="00D967A5" w:rsidRPr="004E5148">
        <w:rPr>
          <w:b/>
          <w:color w:val="C00000"/>
        </w:rPr>
        <w:t xml:space="preserve">does not have answers about missing </w:t>
      </w:r>
      <w:r w:rsidR="00BA43F8">
        <w:rPr>
          <w:b/>
          <w:color w:val="C00000"/>
        </w:rPr>
        <w:t xml:space="preserve">entries or </w:t>
      </w:r>
      <w:r w:rsidR="00D967A5" w:rsidRPr="004E5148">
        <w:rPr>
          <w:b/>
          <w:color w:val="C00000"/>
        </w:rPr>
        <w:t>entities.</w:t>
      </w:r>
    </w:p>
    <w:p w:rsidR="00A22DAB" w:rsidRDefault="00A22DAB" w:rsidP="00A22DAB">
      <w:pPr>
        <w:rPr>
          <w:color w:val="365F91"/>
          <w:sz w:val="20"/>
          <w:szCs w:val="20"/>
        </w:rPr>
      </w:pPr>
    </w:p>
    <w:p w:rsidR="00A57359" w:rsidRDefault="00A57359" w:rsidP="00421D50">
      <w:pPr>
        <w:pStyle w:val="NoSpacing"/>
        <w:numPr>
          <w:ilvl w:val="0"/>
          <w:numId w:val="13"/>
        </w:numPr>
        <w:jc w:val="both"/>
      </w:pPr>
      <w:r>
        <w:t>The Actuary/</w:t>
      </w:r>
      <w:proofErr w:type="spellStart"/>
      <w:r>
        <w:t>TCRS</w:t>
      </w:r>
      <w:proofErr w:type="spellEnd"/>
      <w:r>
        <w:t xml:space="preserve"> information should include the following</w:t>
      </w:r>
      <w:r w:rsidR="005B694F">
        <w:t>.  This information should be located at each entity’s account site</w:t>
      </w:r>
      <w:r w:rsidR="00167903">
        <w:t xml:space="preserve"> except</w:t>
      </w:r>
      <w:r w:rsidR="00CE4B4D">
        <w:t xml:space="preserve"> for</w:t>
      </w:r>
      <w:r w:rsidR="00167903">
        <w:t xml:space="preserve"> the Actuarial Certification and Actuarial Report for the LEA C</w:t>
      </w:r>
      <w:r w:rsidR="00733D19">
        <w:t>ost-sharing</w:t>
      </w:r>
      <w:r w:rsidR="00167903">
        <w:t xml:space="preserve"> Plans </w:t>
      </w:r>
      <w:r w:rsidR="00CE4B4D">
        <w:t xml:space="preserve">which </w:t>
      </w:r>
      <w:r w:rsidR="00167903">
        <w:t xml:space="preserve">is located at </w:t>
      </w:r>
      <w:r w:rsidR="00733D19">
        <w:t>accounts 90000 and 90001</w:t>
      </w:r>
      <w:r w:rsidR="00167903">
        <w:t>.</w:t>
      </w:r>
    </w:p>
    <w:p w:rsidR="00395A53" w:rsidRDefault="00395A53" w:rsidP="00395A53">
      <w:pPr>
        <w:pStyle w:val="NoSpacing"/>
        <w:ind w:left="360"/>
        <w:jc w:val="both"/>
      </w:pPr>
    </w:p>
    <w:p w:rsidR="00A57359" w:rsidRDefault="00A57359" w:rsidP="00D34DFA">
      <w:pPr>
        <w:pStyle w:val="NoSpacing"/>
        <w:numPr>
          <w:ilvl w:val="0"/>
          <w:numId w:val="24"/>
        </w:numPr>
        <w:jc w:val="both"/>
      </w:pPr>
      <w:r>
        <w:t>Actuary Certification Letter</w:t>
      </w:r>
      <w:r w:rsidR="005B694F">
        <w:t xml:space="preserve"> </w:t>
      </w:r>
    </w:p>
    <w:p w:rsidR="00A57359" w:rsidRDefault="00A57359" w:rsidP="00D34DFA">
      <w:pPr>
        <w:pStyle w:val="NoSpacing"/>
        <w:numPr>
          <w:ilvl w:val="0"/>
          <w:numId w:val="24"/>
        </w:numPr>
        <w:jc w:val="both"/>
      </w:pPr>
      <w:r>
        <w:t>Actuarial Report</w:t>
      </w:r>
    </w:p>
    <w:p w:rsidR="00A57359" w:rsidRDefault="00A57359" w:rsidP="00D34DFA">
      <w:pPr>
        <w:pStyle w:val="NoSpacing"/>
        <w:numPr>
          <w:ilvl w:val="0"/>
          <w:numId w:val="24"/>
        </w:numPr>
        <w:jc w:val="both"/>
      </w:pPr>
      <w:r>
        <w:t>Journal Entries for recording Net Pension Asset/Liability, Deferrals, and Pension Expense.</w:t>
      </w:r>
    </w:p>
    <w:p w:rsidR="00C857BC" w:rsidRDefault="00C857BC" w:rsidP="00D34DFA">
      <w:pPr>
        <w:pStyle w:val="NoSpacing"/>
        <w:numPr>
          <w:ilvl w:val="0"/>
          <w:numId w:val="24"/>
        </w:numPr>
        <w:jc w:val="both"/>
      </w:pPr>
      <w:r>
        <w:t>Notes to Financial Statements</w:t>
      </w:r>
    </w:p>
    <w:p w:rsidR="00C857BC" w:rsidRDefault="00C857BC" w:rsidP="00D34DFA">
      <w:pPr>
        <w:pStyle w:val="NoSpacing"/>
        <w:numPr>
          <w:ilvl w:val="0"/>
          <w:numId w:val="24"/>
        </w:numPr>
        <w:jc w:val="both"/>
      </w:pPr>
      <w:r>
        <w:t>RSI and Notes to RSI</w:t>
      </w:r>
    </w:p>
    <w:p w:rsidR="00831190" w:rsidRDefault="00831190" w:rsidP="00831190">
      <w:pPr>
        <w:pStyle w:val="NoSpacing"/>
        <w:ind w:left="360"/>
        <w:jc w:val="both"/>
      </w:pPr>
    </w:p>
    <w:p w:rsidR="00831190" w:rsidRDefault="00831190" w:rsidP="00831190">
      <w:pPr>
        <w:pStyle w:val="NoSpacing"/>
        <w:ind w:left="360"/>
        <w:jc w:val="both"/>
      </w:pPr>
      <w:r w:rsidRPr="00831190">
        <w:t xml:space="preserve">Auditors should include the above information in their audit documentation and internally reference these documents to financial reports and other </w:t>
      </w:r>
      <w:proofErr w:type="spellStart"/>
      <w:r w:rsidRPr="00831190">
        <w:t>workpapers</w:t>
      </w:r>
      <w:proofErr w:type="spellEnd"/>
      <w:r w:rsidRPr="00831190">
        <w:t>.</w:t>
      </w:r>
    </w:p>
    <w:p w:rsidR="00832D45" w:rsidRDefault="00832D45" w:rsidP="00832D45">
      <w:pPr>
        <w:pStyle w:val="NoSpacing"/>
        <w:ind w:left="360"/>
        <w:jc w:val="both"/>
      </w:pPr>
    </w:p>
    <w:p w:rsidR="001B167B" w:rsidRDefault="00853501" w:rsidP="00421D50">
      <w:pPr>
        <w:pStyle w:val="NoSpacing"/>
        <w:numPr>
          <w:ilvl w:val="0"/>
          <w:numId w:val="13"/>
        </w:numPr>
        <w:jc w:val="both"/>
      </w:pPr>
      <w:r>
        <w:t>Th</w:t>
      </w:r>
      <w:r w:rsidR="001B167B">
        <w:t xml:space="preserve">ere </w:t>
      </w:r>
      <w:r w:rsidR="0098536D">
        <w:t>is a</w:t>
      </w:r>
      <w:r w:rsidR="001B167B">
        <w:t xml:space="preserve"> new </w:t>
      </w:r>
      <w:r w:rsidR="000B4193">
        <w:t xml:space="preserve">state mandated </w:t>
      </w:r>
      <w:r>
        <w:t xml:space="preserve">hybrid </w:t>
      </w:r>
      <w:r w:rsidR="001B167B">
        <w:t xml:space="preserve">pension plan </w:t>
      </w:r>
      <w:r w:rsidR="000B4193">
        <w:t>for all LEA</w:t>
      </w:r>
      <w:r w:rsidR="000449F9">
        <w:t>’s</w:t>
      </w:r>
      <w:r w:rsidR="000B4193">
        <w:t xml:space="preserve"> </w:t>
      </w:r>
      <w:r w:rsidR="001B167B">
        <w:t xml:space="preserve">in existence for the year ended June 30, 2016. </w:t>
      </w:r>
      <w:r w:rsidR="000B4193">
        <w:t xml:space="preserve">  There could be hybrid pension plans for Agency Plans as well, but these are not mandatory. </w:t>
      </w:r>
      <w:r w:rsidR="0098536D">
        <w:t xml:space="preserve">  </w:t>
      </w:r>
      <w:r>
        <w:t xml:space="preserve">Notes to the financial statements should be provided separately for all pension plans.  </w:t>
      </w:r>
      <w:r w:rsidR="00A23109">
        <w:t xml:space="preserve">The </w:t>
      </w:r>
      <w:proofErr w:type="spellStart"/>
      <w:r w:rsidR="00A23109">
        <w:t>TCRS</w:t>
      </w:r>
      <w:proofErr w:type="spellEnd"/>
      <w:r w:rsidR="00A23109">
        <w:t xml:space="preserve"> information for the LEA Hybrid Plan </w:t>
      </w:r>
      <w:proofErr w:type="gramStart"/>
      <w:r w:rsidR="00A23109">
        <w:t>was  place</w:t>
      </w:r>
      <w:r w:rsidR="000449F9">
        <w:t>d</w:t>
      </w:r>
      <w:proofErr w:type="gramEnd"/>
      <w:r w:rsidR="00A23109">
        <w:t xml:space="preserve"> on </w:t>
      </w:r>
      <w:proofErr w:type="spellStart"/>
      <w:r w:rsidR="000449F9">
        <w:t>TCRS’s</w:t>
      </w:r>
      <w:proofErr w:type="spellEnd"/>
      <w:r w:rsidR="00A23109">
        <w:t xml:space="preserve"> website for use by CPA firms, but was subsequently revised on September 13, 2016.  The main</w:t>
      </w:r>
      <w:r w:rsidR="00AB0374">
        <w:t xml:space="preserve"> thing that changed was the RSI relating to Contributions.  </w:t>
      </w:r>
      <w:r w:rsidR="00481105" w:rsidRPr="000449F9">
        <w:rPr>
          <w:b/>
          <w:u w:val="single"/>
        </w:rPr>
        <w:t>So, if you finished audit work before September 13, 2016</w:t>
      </w:r>
      <w:r w:rsidR="00481105">
        <w:t xml:space="preserve"> for a given school, you should make sure the information has not changed.  In addition</w:t>
      </w:r>
      <w:proofErr w:type="gramStart"/>
      <w:r w:rsidR="00481105">
        <w:t xml:space="preserve">,  </w:t>
      </w:r>
      <w:proofErr w:type="spellStart"/>
      <w:r w:rsidR="00481105">
        <w:t>TCRS</w:t>
      </w:r>
      <w:proofErr w:type="spellEnd"/>
      <w:proofErr w:type="gramEnd"/>
      <w:r w:rsidR="00481105">
        <w:t xml:space="preserve"> has informed us that the 2016 Contractually Required Contribution amount for the Teacher Hybrid Plan can be calculated by multiplying the Covered (i.e. Pensionable) Payroll by </w:t>
      </w:r>
      <w:r w:rsidR="00464120">
        <w:t>2.5%.  The Contribution in Relation to the Contractually Required Contribution is 4.0% of Covered (i.e. Pensionable) Payroll.  The 2016 “Contribution as a Percentage of the Covered Payroll” is 4.0%.</w:t>
      </w:r>
      <w:r w:rsidR="000449F9">
        <w:t xml:space="preserve">  You will need this information to complete the RSI schedules for contributions for the LEA Hybrid Plan.</w:t>
      </w:r>
    </w:p>
    <w:p w:rsidR="00733D19" w:rsidRDefault="00733D19" w:rsidP="00733D19">
      <w:pPr>
        <w:pStyle w:val="NoSpacing"/>
        <w:ind w:left="360"/>
        <w:jc w:val="both"/>
      </w:pPr>
    </w:p>
    <w:p w:rsidR="00733D19" w:rsidRDefault="00853501" w:rsidP="00421D50">
      <w:pPr>
        <w:pStyle w:val="NoSpacing"/>
        <w:numPr>
          <w:ilvl w:val="0"/>
          <w:numId w:val="13"/>
        </w:numPr>
        <w:jc w:val="both"/>
      </w:pPr>
      <w:r>
        <w:t>R</w:t>
      </w:r>
      <w:r w:rsidR="00733D19">
        <w:t>emember</w:t>
      </w:r>
      <w:r w:rsidR="005A2C71">
        <w:t>,</w:t>
      </w:r>
      <w:r w:rsidR="00733D19">
        <w:t xml:space="preserve"> for most LEA </w:t>
      </w:r>
      <w:r w:rsidR="00FE11CD">
        <w:t xml:space="preserve">pension plans, there is a cost-sharing component for teachers and </w:t>
      </w:r>
      <w:r w:rsidR="00733D19" w:rsidRPr="0098536D">
        <w:rPr>
          <w:u w:val="single"/>
        </w:rPr>
        <w:t>agency</w:t>
      </w:r>
      <w:r w:rsidR="00733D19">
        <w:t xml:space="preserve"> component for non-teacher employees.</w:t>
      </w:r>
    </w:p>
    <w:p w:rsidR="001B167B" w:rsidRDefault="001B167B" w:rsidP="001B167B">
      <w:pPr>
        <w:pStyle w:val="NoSpacing"/>
        <w:ind w:left="1080"/>
        <w:jc w:val="both"/>
      </w:pPr>
    </w:p>
    <w:p w:rsidR="009A7F82" w:rsidRDefault="009A7F82" w:rsidP="001B167B">
      <w:pPr>
        <w:pStyle w:val="NoSpacing"/>
        <w:ind w:left="1080"/>
        <w:jc w:val="both"/>
      </w:pPr>
    </w:p>
    <w:p w:rsidR="009A7F82" w:rsidRDefault="009A7F82" w:rsidP="001B167B">
      <w:pPr>
        <w:pStyle w:val="NoSpacing"/>
        <w:ind w:left="1080"/>
        <w:jc w:val="both"/>
      </w:pPr>
    </w:p>
    <w:p w:rsidR="009A7F82" w:rsidRDefault="009A7F82" w:rsidP="001B167B">
      <w:pPr>
        <w:pStyle w:val="NoSpacing"/>
        <w:ind w:left="1080"/>
        <w:jc w:val="both"/>
      </w:pPr>
    </w:p>
    <w:p w:rsidR="009A7F82" w:rsidRDefault="009A7F82" w:rsidP="001B167B">
      <w:pPr>
        <w:pStyle w:val="NoSpacing"/>
        <w:ind w:left="1080"/>
        <w:jc w:val="both"/>
      </w:pPr>
    </w:p>
    <w:p w:rsidR="009A7F82" w:rsidRDefault="009A7F82" w:rsidP="001B167B">
      <w:pPr>
        <w:pStyle w:val="NoSpacing"/>
        <w:ind w:left="1080"/>
        <w:jc w:val="both"/>
      </w:pPr>
    </w:p>
    <w:p w:rsidR="009A7F82" w:rsidRDefault="009A7F82" w:rsidP="001B167B">
      <w:pPr>
        <w:pStyle w:val="NoSpacing"/>
        <w:ind w:left="1080"/>
        <w:jc w:val="both"/>
      </w:pPr>
    </w:p>
    <w:p w:rsidR="009A7F82" w:rsidRDefault="009A7F82" w:rsidP="001B167B">
      <w:pPr>
        <w:pStyle w:val="NoSpacing"/>
        <w:ind w:left="1080"/>
        <w:jc w:val="both"/>
      </w:pPr>
    </w:p>
    <w:p w:rsidR="009A7F82" w:rsidRDefault="009A7F82" w:rsidP="001B167B">
      <w:pPr>
        <w:pStyle w:val="NoSpacing"/>
        <w:ind w:left="1080"/>
        <w:jc w:val="both"/>
      </w:pPr>
    </w:p>
    <w:p w:rsidR="009A7F82" w:rsidRDefault="009A7F82" w:rsidP="001B167B">
      <w:pPr>
        <w:pStyle w:val="NoSpacing"/>
        <w:ind w:left="1080"/>
        <w:jc w:val="both"/>
      </w:pPr>
    </w:p>
    <w:p w:rsidR="004B38CA" w:rsidRDefault="004B38CA" w:rsidP="00421D50">
      <w:pPr>
        <w:pStyle w:val="NoSpacing"/>
        <w:numPr>
          <w:ilvl w:val="0"/>
          <w:numId w:val="13"/>
        </w:numPr>
        <w:jc w:val="both"/>
      </w:pPr>
      <w:r>
        <w:lastRenderedPageBreak/>
        <w:t xml:space="preserve">Several governments will have a net pension </w:t>
      </w:r>
      <w:r w:rsidRPr="004B38CA">
        <w:rPr>
          <w:b/>
        </w:rPr>
        <w:t>asset</w:t>
      </w:r>
      <w:r>
        <w:t xml:space="preserve"> rather than a net pension </w:t>
      </w:r>
      <w:r w:rsidRPr="004B38CA">
        <w:rPr>
          <w:b/>
        </w:rPr>
        <w:t>liability</w:t>
      </w:r>
      <w:r>
        <w:t xml:space="preserve">.  </w:t>
      </w:r>
      <w:r w:rsidR="00663E83">
        <w:t>Also, s</w:t>
      </w:r>
      <w:r>
        <w:t xml:space="preserve">everal governments will have </w:t>
      </w:r>
      <w:r w:rsidR="009B16AC">
        <w:t>the equivalent of “</w:t>
      </w:r>
      <w:r w:rsidRPr="004B38CA">
        <w:rPr>
          <w:b/>
        </w:rPr>
        <w:t>pension income</w:t>
      </w:r>
      <w:r w:rsidR="009B16AC">
        <w:rPr>
          <w:b/>
        </w:rPr>
        <w:t>”</w:t>
      </w:r>
      <w:r>
        <w:t xml:space="preserve"> rather than </w:t>
      </w:r>
      <w:r w:rsidRPr="004B38CA">
        <w:rPr>
          <w:b/>
        </w:rPr>
        <w:t>pension expense</w:t>
      </w:r>
      <w:r>
        <w:t xml:space="preserve">.  </w:t>
      </w:r>
      <w:r w:rsidR="00655CF1">
        <w:t xml:space="preserve">Even though </w:t>
      </w:r>
      <w:proofErr w:type="spellStart"/>
      <w:r w:rsidR="00655CF1">
        <w:t>GASB</w:t>
      </w:r>
      <w:proofErr w:type="spellEnd"/>
      <w:r w:rsidR="00655CF1">
        <w:t xml:space="preserve"> has not addressed this in Statement 68 or subsequent amendments</w:t>
      </w:r>
      <w:r w:rsidR="005A2C71">
        <w:t xml:space="preserve"> to 68</w:t>
      </w:r>
      <w:r w:rsidR="00655CF1">
        <w:t xml:space="preserve">, </w:t>
      </w:r>
      <w:proofErr w:type="spellStart"/>
      <w:r w:rsidR="00655CF1">
        <w:t>GASB</w:t>
      </w:r>
      <w:proofErr w:type="spellEnd"/>
      <w:r w:rsidR="00655CF1">
        <w:t xml:space="preserve"> has </w:t>
      </w:r>
      <w:r w:rsidR="00795330">
        <w:t xml:space="preserve">informally </w:t>
      </w:r>
      <w:r w:rsidR="00655CF1">
        <w:t xml:space="preserve">advised that using the </w:t>
      </w:r>
      <w:proofErr w:type="gramStart"/>
      <w:r w:rsidR="00267FCD">
        <w:t>description</w:t>
      </w:r>
      <w:r>
        <w:t xml:space="preserve">  “</w:t>
      </w:r>
      <w:proofErr w:type="gramEnd"/>
      <w:r w:rsidRPr="00655CF1">
        <w:rPr>
          <w:i/>
        </w:rPr>
        <w:t>Pension Income</w:t>
      </w:r>
      <w:r w:rsidR="008768B4">
        <w:t xml:space="preserve">” </w:t>
      </w:r>
      <w:r w:rsidR="00655CF1">
        <w:t xml:space="preserve"> is </w:t>
      </w:r>
      <w:r w:rsidR="00655CF1" w:rsidRPr="00267FCD">
        <w:rPr>
          <w:u w:val="single"/>
        </w:rPr>
        <w:t>not</w:t>
      </w:r>
      <w:r w:rsidR="00655CF1">
        <w:t xml:space="preserve"> </w:t>
      </w:r>
      <w:r w:rsidR="00267FCD">
        <w:t>correct</w:t>
      </w:r>
      <w:r w:rsidR="00655CF1">
        <w:t xml:space="preserve">.  The </w:t>
      </w:r>
      <w:r w:rsidR="00267FCD">
        <w:t>description</w:t>
      </w:r>
      <w:r w:rsidR="00655CF1">
        <w:t xml:space="preserve"> </w:t>
      </w:r>
      <w:r w:rsidR="00267FCD">
        <w:t xml:space="preserve">that </w:t>
      </w:r>
      <w:r w:rsidR="00655CF1">
        <w:t xml:space="preserve">should be </w:t>
      </w:r>
      <w:r w:rsidR="00267FCD">
        <w:t>used is</w:t>
      </w:r>
      <w:r>
        <w:t xml:space="preserve"> </w:t>
      </w:r>
      <w:r w:rsidR="00655CF1">
        <w:t>“</w:t>
      </w:r>
      <w:r w:rsidR="00655CF1" w:rsidRPr="00267FCD">
        <w:rPr>
          <w:i/>
        </w:rPr>
        <w:t>Negative Pension Expense</w:t>
      </w:r>
      <w:r w:rsidR="00655CF1">
        <w:t xml:space="preserve">”.  </w:t>
      </w:r>
      <w:r w:rsidR="00267FCD">
        <w:t>N</w:t>
      </w:r>
      <w:r w:rsidR="00655CF1">
        <w:t xml:space="preserve">egative </w:t>
      </w:r>
      <w:r w:rsidR="00267FCD">
        <w:t>Pension Expense</w:t>
      </w:r>
      <w:r w:rsidR="00655CF1">
        <w:t xml:space="preserve"> should be </w:t>
      </w:r>
      <w:r>
        <w:t xml:space="preserve">reported with </w:t>
      </w:r>
      <w:r w:rsidR="00267FCD">
        <w:t xml:space="preserve">expenses rather than income.  </w:t>
      </w:r>
      <w:r w:rsidR="00267FCD" w:rsidRPr="00267FCD">
        <w:rPr>
          <w:b/>
        </w:rPr>
        <w:t>Please note</w:t>
      </w:r>
      <w:r w:rsidR="00267FCD">
        <w:t xml:space="preserve">, this is different from the advice I included in this memo last year.  </w:t>
      </w:r>
      <w:proofErr w:type="spellStart"/>
      <w:r w:rsidR="00267FCD">
        <w:t>GASB</w:t>
      </w:r>
      <w:proofErr w:type="spellEnd"/>
      <w:r w:rsidR="00267FCD">
        <w:t xml:space="preserve"> has clarified </w:t>
      </w:r>
      <w:r w:rsidR="00A61FF2">
        <w:t>its</w:t>
      </w:r>
      <w:r w:rsidR="00267FCD">
        <w:t xml:space="preserve"> guidance</w:t>
      </w:r>
      <w:r w:rsidR="00795330">
        <w:t>.</w:t>
      </w:r>
      <w:r w:rsidR="00267FCD">
        <w:t xml:space="preserve">  </w:t>
      </w:r>
      <w:r w:rsidR="00267FCD" w:rsidRPr="00267FCD">
        <w:t xml:space="preserve">Some </w:t>
      </w:r>
      <w:r w:rsidR="00881994" w:rsidRPr="00267FCD">
        <w:t xml:space="preserve">governments </w:t>
      </w:r>
      <w:r w:rsidR="00267FCD" w:rsidRPr="00267FCD">
        <w:t>that had Negative Pension Expense (i.e. Pension Income)</w:t>
      </w:r>
      <w:r w:rsidR="00881994" w:rsidRPr="00267FCD">
        <w:t xml:space="preserve"> </w:t>
      </w:r>
      <w:r w:rsidR="00267FCD" w:rsidRPr="00267FCD">
        <w:t>last</w:t>
      </w:r>
      <w:r w:rsidR="00881994" w:rsidRPr="00267FCD">
        <w:t xml:space="preserve"> year </w:t>
      </w:r>
      <w:r w:rsidR="00267FCD" w:rsidRPr="00267FCD">
        <w:t>may have a Pension Expense this year.</w:t>
      </w:r>
      <w:r w:rsidR="00267FCD">
        <w:rPr>
          <w:b/>
        </w:rPr>
        <w:t xml:space="preserve">  </w:t>
      </w:r>
      <w:r w:rsidR="00267FCD">
        <w:t xml:space="preserve">This is mainly because of a lower rate of return on </w:t>
      </w:r>
      <w:proofErr w:type="spellStart"/>
      <w:r w:rsidR="00515500">
        <w:t>TCRS</w:t>
      </w:r>
      <w:proofErr w:type="spellEnd"/>
      <w:r w:rsidR="00515500">
        <w:t xml:space="preserve"> </w:t>
      </w:r>
      <w:r w:rsidR="00267FCD">
        <w:t xml:space="preserve">investments during the current fiscal year.  </w:t>
      </w:r>
    </w:p>
    <w:p w:rsidR="00881994" w:rsidRDefault="00881994" w:rsidP="009B5814">
      <w:pPr>
        <w:pStyle w:val="ListParagraph"/>
        <w:jc w:val="both"/>
      </w:pPr>
    </w:p>
    <w:p w:rsidR="00D2690C" w:rsidRPr="00417EB2" w:rsidRDefault="00B40849" w:rsidP="00421D50">
      <w:pPr>
        <w:pStyle w:val="NoSpacing"/>
        <w:numPr>
          <w:ilvl w:val="0"/>
          <w:numId w:val="13"/>
        </w:numPr>
        <w:jc w:val="both"/>
      </w:pPr>
      <w:proofErr w:type="spellStart"/>
      <w:r w:rsidRPr="00417EB2">
        <w:t>TCRS</w:t>
      </w:r>
      <w:proofErr w:type="spellEnd"/>
      <w:r w:rsidRPr="00417EB2">
        <w:t xml:space="preserve"> has grouped individual plans for each government</w:t>
      </w:r>
      <w:r w:rsidR="00703BD0" w:rsidRPr="00417EB2">
        <w:t xml:space="preserve"> </w:t>
      </w:r>
      <w:r w:rsidR="009D01CC" w:rsidRPr="00417EB2">
        <w:t xml:space="preserve">differently in many cases.  For example, one plan, let’s say plan </w:t>
      </w:r>
      <w:r w:rsidR="00D55448">
        <w:t xml:space="preserve">account </w:t>
      </w:r>
      <w:r w:rsidR="009D01CC" w:rsidRPr="00417EB2">
        <w:t xml:space="preserve">80777, may include, employees of a discretely presented component unit,  nonprofessional employees of the School Department, employees of an enterprise fund, and employees of the general government.  </w:t>
      </w:r>
      <w:r w:rsidR="00904F67" w:rsidRPr="00417EB2">
        <w:t xml:space="preserve">Therefore, </w:t>
      </w:r>
      <w:proofErr w:type="spellStart"/>
      <w:r w:rsidR="00E515AC" w:rsidRPr="00417EB2">
        <w:t>TCRS</w:t>
      </w:r>
      <w:proofErr w:type="spellEnd"/>
      <w:r w:rsidR="00E515AC" w:rsidRPr="00417EB2">
        <w:t xml:space="preserve"> would report combined </w:t>
      </w:r>
      <w:r w:rsidR="009D01CC" w:rsidRPr="00417EB2">
        <w:t xml:space="preserve">Census </w:t>
      </w:r>
      <w:r w:rsidR="00E515AC" w:rsidRPr="00417EB2">
        <w:t>D</w:t>
      </w:r>
      <w:r w:rsidR="009D01CC" w:rsidRPr="00417EB2">
        <w:t>ata for all the employees under plan 80777</w:t>
      </w:r>
      <w:r w:rsidR="0034759A" w:rsidRPr="00417EB2">
        <w:t xml:space="preserve">.  This creates various allocation and </w:t>
      </w:r>
      <w:r w:rsidR="00F271BE" w:rsidRPr="00417EB2">
        <w:t xml:space="preserve">census data </w:t>
      </w:r>
      <w:r w:rsidR="0034759A" w:rsidRPr="00417EB2">
        <w:t xml:space="preserve">testing </w:t>
      </w:r>
      <w:r w:rsidR="00D2690C" w:rsidRPr="00417EB2">
        <w:t xml:space="preserve">problems for </w:t>
      </w:r>
      <w:r w:rsidR="00770FCE" w:rsidRPr="00417EB2">
        <w:t>A</w:t>
      </w:r>
      <w:r w:rsidR="00D2690C" w:rsidRPr="00417EB2">
        <w:t>uditors.</w:t>
      </w:r>
      <w:r w:rsidR="005C40F9" w:rsidRPr="00417EB2">
        <w:t xml:space="preserve">  If different Auditors are performing the audit</w:t>
      </w:r>
      <w:r w:rsidR="009B37B0" w:rsidRPr="00417EB2">
        <w:t xml:space="preserve">s of the primary government and the component unit </w:t>
      </w:r>
      <w:r w:rsidR="005C40F9" w:rsidRPr="00417EB2">
        <w:t>included in plan 80777, they will need to co</w:t>
      </w:r>
      <w:r w:rsidR="00A25813" w:rsidRPr="00417EB2">
        <w:t xml:space="preserve">mmunicate about the allocations similar to the methods described for Counties in </w:t>
      </w:r>
      <w:r w:rsidR="00A25813" w:rsidRPr="00E40F5C">
        <w:rPr>
          <w:b/>
        </w:rPr>
        <w:t xml:space="preserve">Number </w:t>
      </w:r>
      <w:r w:rsidR="009B16AC" w:rsidRPr="00E40F5C">
        <w:rPr>
          <w:b/>
        </w:rPr>
        <w:t>1</w:t>
      </w:r>
      <w:r w:rsidR="004817E5">
        <w:rPr>
          <w:b/>
        </w:rPr>
        <w:t>4</w:t>
      </w:r>
      <w:r w:rsidR="00A25813" w:rsidRPr="00E40F5C">
        <w:t xml:space="preserve"> </w:t>
      </w:r>
      <w:r w:rsidR="00A25813" w:rsidRPr="00417EB2">
        <w:t>below.</w:t>
      </w:r>
    </w:p>
    <w:p w:rsidR="00D2690C" w:rsidRDefault="00D2690C" w:rsidP="009B5814">
      <w:pPr>
        <w:pStyle w:val="ListParagraph"/>
        <w:jc w:val="both"/>
      </w:pPr>
    </w:p>
    <w:p w:rsidR="00703BD0" w:rsidRDefault="00F271BE" w:rsidP="00421D50">
      <w:pPr>
        <w:pStyle w:val="NoSpacing"/>
        <w:numPr>
          <w:ilvl w:val="0"/>
          <w:numId w:val="13"/>
        </w:numPr>
        <w:jc w:val="both"/>
      </w:pPr>
      <w:r w:rsidRPr="00E40F5C">
        <w:rPr>
          <w:b/>
        </w:rPr>
        <w:t>IMPORTANT NOTE:</w:t>
      </w:r>
      <w:r w:rsidRPr="00E40F5C">
        <w:t xml:space="preserve">  </w:t>
      </w:r>
      <w:r>
        <w:t xml:space="preserve">In a situation such as described in </w:t>
      </w:r>
      <w:r w:rsidRPr="00E40F5C">
        <w:rPr>
          <w:b/>
        </w:rPr>
        <w:t>Number 1</w:t>
      </w:r>
      <w:r w:rsidR="004817E5">
        <w:rPr>
          <w:b/>
        </w:rPr>
        <w:t>3</w:t>
      </w:r>
      <w:r>
        <w:t xml:space="preserve"> above, t</w:t>
      </w:r>
      <w:r w:rsidR="00D2690C">
        <w:t xml:space="preserve">he Division of Local Government Audit will </w:t>
      </w:r>
      <w:r w:rsidR="00E20C16">
        <w:t xml:space="preserve">continue to </w:t>
      </w:r>
      <w:r w:rsidR="00D2690C">
        <w:t xml:space="preserve">provide CPA Firms that audit </w:t>
      </w:r>
      <w:r w:rsidR="00584023">
        <w:t xml:space="preserve">stand-alone financial statements </w:t>
      </w:r>
      <w:r w:rsidR="00A25813">
        <w:t>of</w:t>
      </w:r>
      <w:r w:rsidR="00584023">
        <w:t xml:space="preserve"> </w:t>
      </w:r>
      <w:r>
        <w:t>C</w:t>
      </w:r>
      <w:r w:rsidR="00D2690C">
        <w:t xml:space="preserve">omponent </w:t>
      </w:r>
      <w:r>
        <w:t>U</w:t>
      </w:r>
      <w:r w:rsidR="00D2690C">
        <w:t xml:space="preserve">nits </w:t>
      </w:r>
      <w:r>
        <w:t xml:space="preserve">or Enterprise Funds (e.g. Utilities) </w:t>
      </w:r>
      <w:r w:rsidR="00D2690C">
        <w:t xml:space="preserve">related to </w:t>
      </w:r>
      <w:r w:rsidR="00D2690C" w:rsidRPr="00E40F5C">
        <w:rPr>
          <w:b/>
          <w:u w:val="single"/>
        </w:rPr>
        <w:t>County Governments</w:t>
      </w:r>
      <w:r w:rsidR="00D2690C" w:rsidRPr="00E40F5C">
        <w:t xml:space="preserve"> </w:t>
      </w:r>
      <w:r w:rsidR="00D2690C">
        <w:t>with an allocation of Net Pension Asset/Liability, Deferrals, and Pension Income/Expense.</w:t>
      </w:r>
      <w:r w:rsidR="005E4F72">
        <w:t xml:space="preserve">  </w:t>
      </w:r>
      <w:r>
        <w:t>This way our numbers will agree between the Primary Government, Enterprise Funds, and Component Units.</w:t>
      </w:r>
      <w:r w:rsidR="00703BD0">
        <w:t xml:space="preserve">  </w:t>
      </w:r>
      <w:r w:rsidR="00A85A4D">
        <w:t xml:space="preserve">This year we plan on using contributions to allocate pension costs.  </w:t>
      </w:r>
      <w:r>
        <w:t>Obviously, this only applies to the 89 counties that are audited by the Division of Local Government Audit.</w:t>
      </w:r>
      <w:r w:rsidR="00BE65BD">
        <w:t xml:space="preserve">  </w:t>
      </w:r>
      <w:r w:rsidR="00584023">
        <w:t xml:space="preserve">If you are involved with an entity that meets the criteria in </w:t>
      </w:r>
      <w:r w:rsidR="00584023" w:rsidRPr="00E40F5C">
        <w:rPr>
          <w:b/>
        </w:rPr>
        <w:t>Number 1</w:t>
      </w:r>
      <w:r w:rsidR="004817E5">
        <w:rPr>
          <w:b/>
        </w:rPr>
        <w:t>3</w:t>
      </w:r>
      <w:r w:rsidR="00584023" w:rsidRPr="00E40F5C">
        <w:t xml:space="preserve"> </w:t>
      </w:r>
      <w:r w:rsidR="00584023">
        <w:t>above, and you are preparing stand-alone financial statements for a Component Unit or Enterprise Fund</w:t>
      </w:r>
      <w:r w:rsidR="005A7738">
        <w:t xml:space="preserve"> of a </w:t>
      </w:r>
      <w:r w:rsidR="005A7738" w:rsidRPr="00E40F5C">
        <w:rPr>
          <w:b/>
          <w:u w:val="single"/>
        </w:rPr>
        <w:t>County Government</w:t>
      </w:r>
      <w:r w:rsidR="00584023">
        <w:t xml:space="preserve">, please contact </w:t>
      </w:r>
      <w:r w:rsidR="00E20C16">
        <w:t xml:space="preserve">your </w:t>
      </w:r>
      <w:r w:rsidR="00A85A4D">
        <w:t>R</w:t>
      </w:r>
      <w:r w:rsidR="00E20C16">
        <w:t xml:space="preserve">egional </w:t>
      </w:r>
      <w:r w:rsidR="00A85A4D">
        <w:t>O</w:t>
      </w:r>
      <w:r w:rsidR="00E20C16">
        <w:t xml:space="preserve">ffice of </w:t>
      </w:r>
      <w:r w:rsidR="00584023">
        <w:t xml:space="preserve">the Division of Local Government Audit so we can forward the necessary allocations.  </w:t>
      </w:r>
      <w:r w:rsidR="007D36D2">
        <w:t xml:space="preserve">Unfortunately, there may be a situation, whereby the Division of Local Government Audit is </w:t>
      </w:r>
      <w:r w:rsidR="00515500">
        <w:t>un</w:t>
      </w:r>
      <w:r w:rsidR="007D36D2">
        <w:t xml:space="preserve">aware of an entity that is included in with census data of the general government.  This would skew the allocations.  We will deal with those situations if and when they occur.  </w:t>
      </w:r>
    </w:p>
    <w:p w:rsidR="00F271BE" w:rsidRDefault="00F271BE" w:rsidP="009B5814">
      <w:pPr>
        <w:pStyle w:val="ListParagraph"/>
        <w:jc w:val="both"/>
      </w:pPr>
    </w:p>
    <w:p w:rsidR="001D5597" w:rsidRPr="00793889" w:rsidRDefault="00E40F5C" w:rsidP="00421D50">
      <w:pPr>
        <w:pStyle w:val="NoSpacing"/>
        <w:numPr>
          <w:ilvl w:val="0"/>
          <w:numId w:val="13"/>
        </w:numPr>
        <w:jc w:val="both"/>
        <w:rPr>
          <w:b/>
        </w:rPr>
      </w:pPr>
      <w:r w:rsidRPr="00E40F5C">
        <w:rPr>
          <w:b/>
        </w:rPr>
        <w:t>IMPORTANT CHANGE FROM LAST YEAR:</w:t>
      </w:r>
      <w:r w:rsidRPr="00E40F5C">
        <w:t xml:space="preserve">  </w:t>
      </w:r>
      <w:r w:rsidR="001C55DD">
        <w:t>Last year, t</w:t>
      </w:r>
      <w:r w:rsidR="00CA4C70">
        <w:t>he RSI ten year tables use</w:t>
      </w:r>
      <w:r w:rsidR="001C55DD">
        <w:t>d</w:t>
      </w:r>
      <w:r w:rsidR="00CA4C70">
        <w:t xml:space="preserve"> the </w:t>
      </w:r>
      <w:r w:rsidR="008768B4">
        <w:t>terminology “</w:t>
      </w:r>
      <w:r w:rsidR="00CA4C70" w:rsidRPr="0018696C">
        <w:t>Covered-Employee Payroll”</w:t>
      </w:r>
      <w:r w:rsidR="00CA4C70">
        <w:t xml:space="preserve">.  This </w:t>
      </w:r>
      <w:r w:rsidR="001C55DD">
        <w:t>is</w:t>
      </w:r>
      <w:r w:rsidR="00CA4C70">
        <w:t xml:space="preserve"> not the same as </w:t>
      </w:r>
      <w:r w:rsidR="001C55DD">
        <w:t>“Covered Payroll” (sometimes known as</w:t>
      </w:r>
      <w:r w:rsidR="00627F29">
        <w:t xml:space="preserve"> </w:t>
      </w:r>
      <w:r w:rsidR="00CA4C70">
        <w:t>“Pensionable Payroll”</w:t>
      </w:r>
      <w:r w:rsidR="001C55DD">
        <w:t>)</w:t>
      </w:r>
      <w:r w:rsidR="00CA4C70">
        <w:t xml:space="preserve">.  See </w:t>
      </w:r>
      <w:proofErr w:type="spellStart"/>
      <w:r w:rsidR="00CA4C70">
        <w:t>GASB’s</w:t>
      </w:r>
      <w:proofErr w:type="spellEnd"/>
      <w:r w:rsidR="00CA4C70">
        <w:t xml:space="preserve"> </w:t>
      </w:r>
      <w:r w:rsidR="00CA4C70" w:rsidRPr="00CA4C70">
        <w:rPr>
          <w:i/>
        </w:rPr>
        <w:t xml:space="preserve">Guide to Implementation of </w:t>
      </w:r>
      <w:proofErr w:type="spellStart"/>
      <w:r w:rsidR="00CA4C70" w:rsidRPr="00CA4C70">
        <w:rPr>
          <w:i/>
        </w:rPr>
        <w:t>GASB</w:t>
      </w:r>
      <w:proofErr w:type="spellEnd"/>
      <w:r w:rsidR="00CA4C70" w:rsidRPr="00CA4C70">
        <w:rPr>
          <w:i/>
        </w:rPr>
        <w:t xml:space="preserve"> Statement 68 on Accounting and Financial Reporting for Pensions</w:t>
      </w:r>
      <w:proofErr w:type="gramStart"/>
      <w:r w:rsidR="00CA4C70">
        <w:rPr>
          <w:i/>
        </w:rPr>
        <w:t xml:space="preserve">,  </w:t>
      </w:r>
      <w:r w:rsidR="00CA4C70" w:rsidRPr="0018696C">
        <w:rPr>
          <w:b/>
        </w:rPr>
        <w:t>Question</w:t>
      </w:r>
      <w:proofErr w:type="gramEnd"/>
      <w:r w:rsidR="00CA4C70" w:rsidRPr="0018696C">
        <w:rPr>
          <w:b/>
        </w:rPr>
        <w:t xml:space="preserve"> 106</w:t>
      </w:r>
      <w:r w:rsidR="00CA4C70">
        <w:t xml:space="preserve">. </w:t>
      </w:r>
      <w:r w:rsidR="009343F5">
        <w:t xml:space="preserve">  However, </w:t>
      </w:r>
      <w:proofErr w:type="spellStart"/>
      <w:r w:rsidR="00437DBC">
        <w:t>GASB</w:t>
      </w:r>
      <w:proofErr w:type="spellEnd"/>
      <w:r w:rsidR="00437DBC">
        <w:t xml:space="preserve"> has now issued Statement 82 to further clarify </w:t>
      </w:r>
      <w:r w:rsidR="00A61FF2">
        <w:t>its</w:t>
      </w:r>
      <w:r w:rsidR="00437DBC">
        <w:t xml:space="preserve"> intentions.  Statement 82, paragraphs 5</w:t>
      </w:r>
      <w:r w:rsidR="00793889">
        <w:t xml:space="preserve"> and </w:t>
      </w:r>
      <w:r w:rsidR="00761234">
        <w:t>6 address the use of the term “covered payroll</w:t>
      </w:r>
      <w:proofErr w:type="gramStart"/>
      <w:r w:rsidR="00761234">
        <w:t>”  and</w:t>
      </w:r>
      <w:proofErr w:type="gramEnd"/>
      <w:r w:rsidR="00761234">
        <w:t xml:space="preserve"> paragraphs B4-B6 explain the difference between “covered-employee payroll” and “covered payroll.”  </w:t>
      </w:r>
      <w:r w:rsidR="001C55DD">
        <w:t>The effective date for Statement 82 for paragraphs 5</w:t>
      </w:r>
      <w:r w:rsidR="00793889">
        <w:t xml:space="preserve"> and </w:t>
      </w:r>
      <w:r w:rsidR="001C55DD">
        <w:t>6 is for periods</w:t>
      </w:r>
      <w:r w:rsidR="00793889">
        <w:t xml:space="preserve"> beginning after June </w:t>
      </w:r>
      <w:r w:rsidR="00627F29">
        <w:t>15</w:t>
      </w:r>
      <w:r w:rsidR="00793889">
        <w:t xml:space="preserve">, 2016.  </w:t>
      </w:r>
      <w:r w:rsidR="00793889" w:rsidRPr="00793889">
        <w:rPr>
          <w:b/>
        </w:rPr>
        <w:t>The Division of Local Government audit intends to encourage our clients to early implement paragraphs 5 and 6 and use “covered payroll</w:t>
      </w:r>
      <w:proofErr w:type="gramStart"/>
      <w:r w:rsidR="00793889" w:rsidRPr="00793889">
        <w:rPr>
          <w:b/>
        </w:rPr>
        <w:t>”  as</w:t>
      </w:r>
      <w:proofErr w:type="gramEnd"/>
      <w:r w:rsidR="00793889" w:rsidRPr="00793889">
        <w:rPr>
          <w:b/>
        </w:rPr>
        <w:t xml:space="preserve"> a measure for the ratios presented in RSI.  We encourage CPA firms to do the same with their clients.</w:t>
      </w:r>
    </w:p>
    <w:p w:rsidR="001D5597" w:rsidRDefault="001D5597" w:rsidP="00421D50">
      <w:pPr>
        <w:pStyle w:val="NoSpacing"/>
        <w:numPr>
          <w:ilvl w:val="0"/>
          <w:numId w:val="13"/>
        </w:numPr>
        <w:jc w:val="both"/>
      </w:pPr>
      <w:r>
        <w:lastRenderedPageBreak/>
        <w:t xml:space="preserve">When testing census data, I would encourage CPA Firms to select the </w:t>
      </w:r>
      <w:r w:rsidR="00E853F4">
        <w:t>Accuracy S</w:t>
      </w:r>
      <w:r>
        <w:t xml:space="preserve">ample, </w:t>
      </w:r>
      <w:r w:rsidR="008768B4">
        <w:t>and then</w:t>
      </w:r>
      <w:r>
        <w:t xml:space="preserve"> provide the sample to the government.  Ask the government to provide the required </w:t>
      </w:r>
      <w:r w:rsidR="00904F67">
        <w:t xml:space="preserve">Census Data </w:t>
      </w:r>
      <w:r w:rsidR="001B061A">
        <w:t xml:space="preserve">evidence </w:t>
      </w:r>
      <w:r w:rsidR="00904F67">
        <w:t>for</w:t>
      </w:r>
      <w:r>
        <w:t xml:space="preserve"> each employee in the </w:t>
      </w:r>
      <w:r w:rsidR="00E853F4">
        <w:t>Accuracy S</w:t>
      </w:r>
      <w:r>
        <w:t>ample.  This will save Auditors considerable time.  Remember, we are testing data from July 1, 201</w:t>
      </w:r>
      <w:r w:rsidR="009343F5">
        <w:t>4</w:t>
      </w:r>
      <w:r>
        <w:t xml:space="preserve"> through June 30, 201</w:t>
      </w:r>
      <w:r w:rsidR="009343F5">
        <w:t>5</w:t>
      </w:r>
      <w:r>
        <w:t xml:space="preserve">.  </w:t>
      </w:r>
      <w:r w:rsidR="00663E83">
        <w:t>In addition, o</w:t>
      </w:r>
      <w:r>
        <w:t xml:space="preserve">nly salaries for that </w:t>
      </w:r>
      <w:r w:rsidRPr="00DB7F90">
        <w:rPr>
          <w:u w:val="single"/>
        </w:rPr>
        <w:t>one year</w:t>
      </w:r>
      <w:r>
        <w:t xml:space="preserve"> and service credits for that </w:t>
      </w:r>
      <w:r w:rsidRPr="00DB7F90">
        <w:rPr>
          <w:u w:val="single"/>
        </w:rPr>
        <w:t>one year</w:t>
      </w:r>
      <w:r>
        <w:t xml:space="preserve"> are required to be examined.  </w:t>
      </w:r>
    </w:p>
    <w:p w:rsidR="001D5597" w:rsidRDefault="001D5597" w:rsidP="009B5814">
      <w:pPr>
        <w:pStyle w:val="ListParagraph"/>
        <w:jc w:val="both"/>
      </w:pPr>
    </w:p>
    <w:p w:rsidR="008D2335" w:rsidRDefault="007323CF" w:rsidP="00421D50">
      <w:pPr>
        <w:pStyle w:val="NoSpacing"/>
        <w:numPr>
          <w:ilvl w:val="0"/>
          <w:numId w:val="13"/>
        </w:numPr>
        <w:jc w:val="both"/>
      </w:pPr>
      <w:r>
        <w:rPr>
          <w:b/>
        </w:rPr>
        <w:t xml:space="preserve">IMPORTANT </w:t>
      </w:r>
      <w:r w:rsidRPr="007323CF">
        <w:rPr>
          <w:b/>
        </w:rPr>
        <w:t>C</w:t>
      </w:r>
      <w:r>
        <w:rPr>
          <w:b/>
        </w:rPr>
        <w:t>HANGE</w:t>
      </w:r>
      <w:r w:rsidRPr="007323CF">
        <w:rPr>
          <w:b/>
        </w:rPr>
        <w:t xml:space="preserve"> F</w:t>
      </w:r>
      <w:r>
        <w:rPr>
          <w:b/>
        </w:rPr>
        <w:t>ROM</w:t>
      </w:r>
      <w:r w:rsidRPr="007323CF">
        <w:rPr>
          <w:b/>
        </w:rPr>
        <w:t xml:space="preserve"> L</w:t>
      </w:r>
      <w:r>
        <w:rPr>
          <w:b/>
        </w:rPr>
        <w:t>AST</w:t>
      </w:r>
      <w:r w:rsidRPr="007323CF">
        <w:rPr>
          <w:b/>
        </w:rPr>
        <w:t xml:space="preserve"> Y</w:t>
      </w:r>
      <w:r>
        <w:rPr>
          <w:b/>
        </w:rPr>
        <w:t>EAR</w:t>
      </w:r>
      <w:r w:rsidRPr="007323CF">
        <w:rPr>
          <w:b/>
        </w:rPr>
        <w:t>:</w:t>
      </w:r>
      <w:r>
        <w:t xml:space="preserve">  </w:t>
      </w:r>
      <w:proofErr w:type="spellStart"/>
      <w:r w:rsidR="0024308B" w:rsidRPr="00FD2C80">
        <w:t>TCRS</w:t>
      </w:r>
      <w:proofErr w:type="spellEnd"/>
      <w:r w:rsidR="0024308B" w:rsidRPr="00FD2C80">
        <w:t xml:space="preserve"> intends to provide a list of </w:t>
      </w:r>
      <w:r w:rsidR="0024308B" w:rsidRPr="00FC7274">
        <w:rPr>
          <w:u w:val="single"/>
        </w:rPr>
        <w:t>contributions after the measurement date</w:t>
      </w:r>
      <w:r w:rsidR="004821A4">
        <w:rPr>
          <w:u w:val="single"/>
        </w:rPr>
        <w:t xml:space="preserve"> for each </w:t>
      </w:r>
      <w:proofErr w:type="spellStart"/>
      <w:r w:rsidR="00A81AFF">
        <w:rPr>
          <w:u w:val="single"/>
        </w:rPr>
        <w:t>TCRS</w:t>
      </w:r>
      <w:proofErr w:type="spellEnd"/>
      <w:r w:rsidR="00A81AFF">
        <w:rPr>
          <w:u w:val="single"/>
        </w:rPr>
        <w:t xml:space="preserve"> </w:t>
      </w:r>
      <w:r w:rsidR="004821A4">
        <w:rPr>
          <w:u w:val="single"/>
        </w:rPr>
        <w:t>account</w:t>
      </w:r>
      <w:r w:rsidR="0024308B" w:rsidRPr="00FD2C80">
        <w:t xml:space="preserve">.  However, this information is currently </w:t>
      </w:r>
      <w:r w:rsidR="0024308B" w:rsidRPr="00FD2C80">
        <w:rPr>
          <w:b/>
          <w:u w:val="single"/>
        </w:rPr>
        <w:t>not</w:t>
      </w:r>
      <w:r w:rsidR="0024308B" w:rsidRPr="00FD2C80">
        <w:t xml:space="preserve"> available.  Therefore, until </w:t>
      </w:r>
      <w:proofErr w:type="spellStart"/>
      <w:r w:rsidR="004821A4">
        <w:t>TCRS</w:t>
      </w:r>
      <w:proofErr w:type="spellEnd"/>
      <w:r w:rsidR="004821A4">
        <w:t xml:space="preserve"> provides </w:t>
      </w:r>
      <w:r w:rsidR="0024308B" w:rsidRPr="00FD2C80">
        <w:t>information for contributions after the measurement date, a</w:t>
      </w:r>
      <w:r w:rsidR="001D5597" w:rsidRPr="00FD2C80">
        <w:t xml:space="preserve">uditors will need to </w:t>
      </w:r>
      <w:r w:rsidR="004821A4">
        <w:t xml:space="preserve">manually </w:t>
      </w:r>
      <w:r w:rsidR="001D5597" w:rsidRPr="00FD2C80">
        <w:t>obtain the amount of contributions made between the measurement date of June 30, 201</w:t>
      </w:r>
      <w:r w:rsidR="0024308B" w:rsidRPr="00FD2C80">
        <w:t>5</w:t>
      </w:r>
      <w:r w:rsidR="001D5597" w:rsidRPr="00FD2C80">
        <w:t xml:space="preserve"> and the report date of June 30, 201</w:t>
      </w:r>
      <w:r w:rsidR="0024308B" w:rsidRPr="00FD2C80">
        <w:t xml:space="preserve">6 </w:t>
      </w:r>
      <w:r w:rsidR="0052250F" w:rsidRPr="00FD2C80">
        <w:t xml:space="preserve">just as we did last year.  </w:t>
      </w:r>
      <w:r w:rsidR="00A81AFF">
        <w:t>C</w:t>
      </w:r>
      <w:r w:rsidR="001D5597" w:rsidRPr="00FD2C80">
        <w:t xml:space="preserve">ontributions </w:t>
      </w:r>
      <w:r w:rsidR="006C0A8A" w:rsidRPr="00FD2C80">
        <w:t xml:space="preserve">will more than likely </w:t>
      </w:r>
      <w:r w:rsidR="001D5597" w:rsidRPr="00FD2C80">
        <w:t xml:space="preserve">be </w:t>
      </w:r>
      <w:r w:rsidR="00DB7F90" w:rsidRPr="00FD2C80">
        <w:t>presented</w:t>
      </w:r>
      <w:r w:rsidR="004B069E" w:rsidRPr="00FD2C80">
        <w:t xml:space="preserve"> in </w:t>
      </w:r>
      <w:r w:rsidR="006C0A8A" w:rsidRPr="00FD2C80">
        <w:t>one</w:t>
      </w:r>
      <w:r w:rsidR="004B069E" w:rsidRPr="00FD2C80">
        <w:t xml:space="preserve"> account</w:t>
      </w:r>
      <w:r w:rsidR="008800A9" w:rsidRPr="00FD2C80">
        <w:t xml:space="preserve"> even though the contributions may apply to more than one type of pension plan</w:t>
      </w:r>
      <w:r w:rsidR="004B069E" w:rsidRPr="00FD2C80">
        <w:t xml:space="preserve">.  For example, contributions at </w:t>
      </w:r>
      <w:r w:rsidR="008768B4" w:rsidRPr="00FD2C80">
        <w:t>a</w:t>
      </w:r>
      <w:r w:rsidR="00FC7274">
        <w:t xml:space="preserve"> Local Education </w:t>
      </w:r>
      <w:r w:rsidR="004B069E" w:rsidRPr="00FD2C80">
        <w:t xml:space="preserve">Agency (LEA) may include contributions for the non-professional employees (Agent Plan) and the professional employees (Teachers – Cost-Sharing </w:t>
      </w:r>
      <w:r w:rsidR="008D2335">
        <w:t xml:space="preserve">Legacy and Hybrid </w:t>
      </w:r>
      <w:r w:rsidR="004B069E" w:rsidRPr="00FD2C80">
        <w:t>Plan</w:t>
      </w:r>
      <w:r w:rsidR="001B061A">
        <w:t>s</w:t>
      </w:r>
      <w:r w:rsidR="004B069E" w:rsidRPr="00FD2C80">
        <w:t>).  The different types of contributions should be segregated by plan for reporting purposes.  We recommend asking the employer to provide the segregated amounts.  Going forward, it would probably be good for employers to have different contribution accounts for each plan.</w:t>
      </w:r>
      <w:r w:rsidR="00FC7274">
        <w:t xml:space="preserve">  </w:t>
      </w:r>
    </w:p>
    <w:p w:rsidR="008D2335" w:rsidRDefault="008D2335" w:rsidP="008D2335">
      <w:pPr>
        <w:pStyle w:val="NoSpacing"/>
        <w:ind w:left="360"/>
        <w:jc w:val="both"/>
      </w:pPr>
    </w:p>
    <w:p w:rsidR="0052250F" w:rsidRPr="00FD2C80" w:rsidRDefault="008D2335" w:rsidP="008D2335">
      <w:pPr>
        <w:pStyle w:val="NoSpacing"/>
        <w:ind w:left="360"/>
        <w:jc w:val="both"/>
      </w:pPr>
      <w:r>
        <w:t xml:space="preserve">On a different but related matter, </w:t>
      </w:r>
      <w:r w:rsidR="00FC7274">
        <w:t xml:space="preserve">employers that have other than June 30 year-ends will only include contributions between the measurement date and their year-end date.  For example, for an entity with a December 31, 2015 year-end, auditors would only include six months of contributions after the measurement date of June 30, 2015.  </w:t>
      </w:r>
    </w:p>
    <w:p w:rsidR="0052250F" w:rsidRDefault="0052250F" w:rsidP="0052250F">
      <w:pPr>
        <w:pStyle w:val="ListParagraph"/>
      </w:pPr>
    </w:p>
    <w:p w:rsidR="004B069E" w:rsidRPr="0024308B" w:rsidRDefault="0052250F" w:rsidP="00421D50">
      <w:pPr>
        <w:pStyle w:val="NoSpacing"/>
        <w:numPr>
          <w:ilvl w:val="0"/>
          <w:numId w:val="13"/>
        </w:numPr>
        <w:jc w:val="both"/>
      </w:pPr>
      <w:r>
        <w:t xml:space="preserve">As a follow-up to </w:t>
      </w:r>
      <w:r w:rsidRPr="00E40F5C">
        <w:t>number 1</w:t>
      </w:r>
      <w:r w:rsidR="009F3659">
        <w:t>7</w:t>
      </w:r>
      <w:r>
        <w:t xml:space="preserve"> above, it may be the case that </w:t>
      </w:r>
      <w:proofErr w:type="spellStart"/>
      <w:r>
        <w:t>TCRS</w:t>
      </w:r>
      <w:proofErr w:type="spellEnd"/>
      <w:r>
        <w:t xml:space="preserve"> provides contribution numbers that do not agree with client records.  This will normally be because of the way </w:t>
      </w:r>
      <w:proofErr w:type="spellStart"/>
      <w:r>
        <w:t>TCRS</w:t>
      </w:r>
      <w:proofErr w:type="spellEnd"/>
      <w:r>
        <w:t xml:space="preserve"> accrues contribution payments.  For example, contribution payments made during the first month of any </w:t>
      </w:r>
      <w:r w:rsidR="009D75F0">
        <w:t>fiscal</w:t>
      </w:r>
      <w:r>
        <w:t xml:space="preserve"> year </w:t>
      </w:r>
      <w:r w:rsidR="00C12EF9">
        <w:t xml:space="preserve">(i.e. July) </w:t>
      </w:r>
      <w:r>
        <w:t xml:space="preserve">represent payments from the prior year’s billings for </w:t>
      </w:r>
      <w:r w:rsidR="00C12EF9">
        <w:t xml:space="preserve">purposes of </w:t>
      </w:r>
      <w:proofErr w:type="spellStart"/>
      <w:r>
        <w:t>TCRS</w:t>
      </w:r>
      <w:proofErr w:type="spellEnd"/>
      <w:r>
        <w:t xml:space="preserve"> accounting.  Adjustments may have to be made by auditors to reconcile client contributions and </w:t>
      </w:r>
      <w:proofErr w:type="spellStart"/>
      <w:r>
        <w:t>TCRS</w:t>
      </w:r>
      <w:proofErr w:type="spellEnd"/>
      <w:r>
        <w:t xml:space="preserve"> contributions.  </w:t>
      </w:r>
      <w:r w:rsidR="005A6CF6">
        <w:t xml:space="preserve">This is also true for contributions reported during the measurement year (i.e. July 1, 2014 to June 30, 2015).  Contributions you calculated after the measurement date of June 30, 2014 may not agree with </w:t>
      </w:r>
      <w:proofErr w:type="spellStart"/>
      <w:r w:rsidR="005A6CF6">
        <w:t>TCRS</w:t>
      </w:r>
      <w:proofErr w:type="spellEnd"/>
      <w:r w:rsidR="005A6CF6">
        <w:t xml:space="preserve"> reported contributions.  </w:t>
      </w:r>
      <w:r>
        <w:t xml:space="preserve">    </w:t>
      </w:r>
      <w:r w:rsidR="008800A9" w:rsidRPr="0024308B">
        <w:t xml:space="preserve">  </w:t>
      </w:r>
    </w:p>
    <w:p w:rsidR="004B069E" w:rsidRDefault="004B069E" w:rsidP="009B5814">
      <w:pPr>
        <w:pStyle w:val="ListParagraph"/>
        <w:jc w:val="both"/>
      </w:pPr>
    </w:p>
    <w:p w:rsidR="004B069E" w:rsidRDefault="004B069E" w:rsidP="00421D50">
      <w:pPr>
        <w:pStyle w:val="NoSpacing"/>
        <w:numPr>
          <w:ilvl w:val="0"/>
          <w:numId w:val="13"/>
        </w:numPr>
        <w:jc w:val="both"/>
      </w:pPr>
      <w:r>
        <w:t>Employers will need to decide whether or not pension expense should be booked for each department (</w:t>
      </w:r>
      <w:r w:rsidR="006C0A8A">
        <w:t>E</w:t>
      </w:r>
      <w:r>
        <w:t xml:space="preserve">nterprise </w:t>
      </w:r>
      <w:r w:rsidR="006C0A8A">
        <w:t>F</w:t>
      </w:r>
      <w:r>
        <w:t xml:space="preserve">unds).  In addition, on the Statement of Activities at the government-wide level, </w:t>
      </w:r>
      <w:r w:rsidR="00E853F4">
        <w:t xml:space="preserve">pension </w:t>
      </w:r>
      <w:r>
        <w:t>expense should be allocated between functions using some logical approach.</w:t>
      </w:r>
      <w:r w:rsidR="00E853F4">
        <w:t xml:space="preserve"> </w:t>
      </w:r>
      <w:r w:rsidR="00291A6C">
        <w:t xml:space="preserve"> </w:t>
      </w:r>
      <w:r w:rsidR="00E853F4">
        <w:t xml:space="preserve"> </w:t>
      </w:r>
    </w:p>
    <w:p w:rsidR="004B069E" w:rsidRDefault="004B069E" w:rsidP="009B5814">
      <w:pPr>
        <w:pStyle w:val="ListParagraph"/>
        <w:jc w:val="both"/>
      </w:pPr>
    </w:p>
    <w:p w:rsidR="00EB6DBE" w:rsidRDefault="00EB6DBE" w:rsidP="00421D50">
      <w:pPr>
        <w:pStyle w:val="NoSpacing"/>
        <w:numPr>
          <w:ilvl w:val="0"/>
          <w:numId w:val="13"/>
        </w:numPr>
        <w:jc w:val="both"/>
      </w:pPr>
      <w:r>
        <w:t xml:space="preserve">The Division of Local Government Audit is not aware of any “Special Funding Situations” as defined by </w:t>
      </w:r>
      <w:proofErr w:type="spellStart"/>
      <w:r>
        <w:t>GASB</w:t>
      </w:r>
      <w:proofErr w:type="spellEnd"/>
      <w:r>
        <w:t xml:space="preserve"> 68.  However, if a Primary Government is making contributions to </w:t>
      </w:r>
      <w:proofErr w:type="spellStart"/>
      <w:r>
        <w:t>TCRS</w:t>
      </w:r>
      <w:proofErr w:type="spellEnd"/>
      <w:r>
        <w:t xml:space="preserve"> for a Component Unit, the Component Unit likely </w:t>
      </w:r>
      <w:r w:rsidR="00A554FC">
        <w:t xml:space="preserve">should </w:t>
      </w:r>
      <w:r w:rsidR="008768B4">
        <w:t>record an</w:t>
      </w:r>
      <w:r>
        <w:t xml:space="preserve"> </w:t>
      </w:r>
      <w:r w:rsidR="00A554FC">
        <w:t>“</w:t>
      </w:r>
      <w:r>
        <w:t xml:space="preserve">On-Behalf </w:t>
      </w:r>
      <w:r w:rsidR="00A554FC">
        <w:t>P</w:t>
      </w:r>
      <w:r>
        <w:t>ayment</w:t>
      </w:r>
      <w:r w:rsidR="00A554FC">
        <w:t>”</w:t>
      </w:r>
      <w:r>
        <w:t xml:space="preserve"> transaction as described in </w:t>
      </w:r>
      <w:proofErr w:type="spellStart"/>
      <w:r>
        <w:t>GASB</w:t>
      </w:r>
      <w:proofErr w:type="spellEnd"/>
      <w:r>
        <w:t xml:space="preserve"> 24.</w:t>
      </w:r>
    </w:p>
    <w:p w:rsidR="00EB6DBE" w:rsidRDefault="00EB6DBE" w:rsidP="009B5814">
      <w:pPr>
        <w:pStyle w:val="ListParagraph"/>
        <w:jc w:val="both"/>
      </w:pPr>
    </w:p>
    <w:p w:rsidR="009A7F82" w:rsidRDefault="009A7F82" w:rsidP="009B5814">
      <w:pPr>
        <w:pStyle w:val="ListParagraph"/>
        <w:jc w:val="both"/>
      </w:pPr>
    </w:p>
    <w:p w:rsidR="009A7F82" w:rsidRDefault="009A7F82" w:rsidP="009B5814">
      <w:pPr>
        <w:pStyle w:val="ListParagraph"/>
        <w:jc w:val="both"/>
      </w:pPr>
    </w:p>
    <w:p w:rsidR="00597B9A" w:rsidRDefault="00A554FC" w:rsidP="00421D50">
      <w:pPr>
        <w:pStyle w:val="NoSpacing"/>
        <w:numPr>
          <w:ilvl w:val="0"/>
          <w:numId w:val="13"/>
        </w:numPr>
        <w:jc w:val="both"/>
      </w:pPr>
      <w:r>
        <w:lastRenderedPageBreak/>
        <w:t xml:space="preserve">CPA Firms are again encouraged to read </w:t>
      </w:r>
      <w:proofErr w:type="spellStart"/>
      <w:r>
        <w:t>GASB</w:t>
      </w:r>
      <w:proofErr w:type="spellEnd"/>
      <w:r>
        <w:t xml:space="preserve"> 68, paragraph 18, and related Implementation Guide Questions 33, 34, and 35</w:t>
      </w:r>
      <w:r w:rsidR="00B37AD6">
        <w:t xml:space="preserve"> for Agent Plans</w:t>
      </w:r>
      <w:r>
        <w:t xml:space="preserve">. </w:t>
      </w:r>
      <w:r w:rsidR="00597B9A">
        <w:t xml:space="preserve"> Stand-alone financial statements of a component unit that is included in the primary government’s agent plan, </w:t>
      </w:r>
      <w:r w:rsidR="008768B4">
        <w:t>should present</w:t>
      </w:r>
      <w:r w:rsidR="00597B9A">
        <w:t xml:space="preserve"> </w:t>
      </w:r>
      <w:r w:rsidR="00013154">
        <w:t>C</w:t>
      </w:r>
      <w:r w:rsidR="00597B9A">
        <w:t>ost-</w:t>
      </w:r>
      <w:r w:rsidR="00013154">
        <w:t>S</w:t>
      </w:r>
      <w:r w:rsidR="00597B9A">
        <w:t xml:space="preserve">haring notes rather than agent notes.  This will cause considerable effort for CPA Firms reporting on the stand-alone financial statements of a component unit.  If possible, the component unit needs to ask </w:t>
      </w:r>
      <w:proofErr w:type="spellStart"/>
      <w:r w:rsidR="00597B9A">
        <w:t>TCRS</w:t>
      </w:r>
      <w:proofErr w:type="spellEnd"/>
      <w:r w:rsidR="00597B9A">
        <w:t xml:space="preserve"> to set up its own account to avoid this situation in the future.  </w:t>
      </w:r>
    </w:p>
    <w:p w:rsidR="00597B9A" w:rsidRDefault="00597B9A" w:rsidP="009B5814">
      <w:pPr>
        <w:pStyle w:val="ListParagraph"/>
        <w:jc w:val="both"/>
      </w:pPr>
    </w:p>
    <w:p w:rsidR="00440F69" w:rsidRPr="00440F69" w:rsidRDefault="00845463" w:rsidP="00421D50">
      <w:pPr>
        <w:pStyle w:val="NoSpacing"/>
        <w:numPr>
          <w:ilvl w:val="0"/>
          <w:numId w:val="13"/>
        </w:numPr>
        <w:jc w:val="both"/>
        <w:rPr>
          <w:b/>
          <w:color w:val="C00000"/>
        </w:rPr>
      </w:pPr>
      <w:r>
        <w:t xml:space="preserve">Census data testing </w:t>
      </w:r>
      <w:proofErr w:type="spellStart"/>
      <w:r>
        <w:t>workpapers</w:t>
      </w:r>
      <w:proofErr w:type="spellEnd"/>
      <w:r>
        <w:t xml:space="preserve"> for </w:t>
      </w:r>
      <w:r w:rsidRPr="005C055C">
        <w:rPr>
          <w:b/>
        </w:rPr>
        <w:t>Agent Plans</w:t>
      </w:r>
      <w:r>
        <w:t xml:space="preserve"> should be maintained by the CPA Firm in its </w:t>
      </w:r>
      <w:proofErr w:type="spellStart"/>
      <w:r>
        <w:t>workpapers</w:t>
      </w:r>
      <w:proofErr w:type="spellEnd"/>
      <w:r>
        <w:t xml:space="preserve"> in support of the Pension Asset/Liability, Deferrals, and Pension Income/Expense.</w:t>
      </w:r>
    </w:p>
    <w:p w:rsidR="00440F69" w:rsidRDefault="00440F69" w:rsidP="00440F69">
      <w:pPr>
        <w:pStyle w:val="ListParagraph"/>
      </w:pPr>
    </w:p>
    <w:p w:rsidR="0024308B" w:rsidRPr="00E40F5C" w:rsidRDefault="00845463" w:rsidP="00421D50">
      <w:pPr>
        <w:pStyle w:val="NoSpacing"/>
        <w:numPr>
          <w:ilvl w:val="0"/>
          <w:numId w:val="13"/>
        </w:numPr>
        <w:jc w:val="both"/>
        <w:rPr>
          <w:b/>
        </w:rPr>
      </w:pPr>
      <w:r w:rsidRPr="00E40F5C">
        <w:rPr>
          <w:b/>
          <w:i/>
          <w:u w:val="single"/>
        </w:rPr>
        <w:t>However</w:t>
      </w:r>
      <w:r w:rsidRPr="00E40F5C">
        <w:rPr>
          <w:b/>
        </w:rPr>
        <w:t xml:space="preserve">, the Census </w:t>
      </w:r>
      <w:r w:rsidR="005C055C" w:rsidRPr="00E40F5C">
        <w:rPr>
          <w:b/>
        </w:rPr>
        <w:t>D</w:t>
      </w:r>
      <w:r w:rsidRPr="00E40F5C">
        <w:rPr>
          <w:b/>
        </w:rPr>
        <w:t xml:space="preserve">ata testing </w:t>
      </w:r>
      <w:proofErr w:type="spellStart"/>
      <w:r w:rsidRPr="00E40F5C">
        <w:rPr>
          <w:b/>
        </w:rPr>
        <w:t>workpapers</w:t>
      </w:r>
      <w:proofErr w:type="spellEnd"/>
      <w:r w:rsidRPr="00E40F5C">
        <w:rPr>
          <w:b/>
        </w:rPr>
        <w:t xml:space="preserve"> for the Cost</w:t>
      </w:r>
      <w:r w:rsidR="00013154" w:rsidRPr="00E40F5C">
        <w:rPr>
          <w:b/>
        </w:rPr>
        <w:t>-</w:t>
      </w:r>
      <w:r w:rsidR="00597B9A" w:rsidRPr="00E40F5C">
        <w:rPr>
          <w:b/>
        </w:rPr>
        <w:t>S</w:t>
      </w:r>
      <w:r w:rsidRPr="00E40F5C">
        <w:rPr>
          <w:b/>
        </w:rPr>
        <w:t xml:space="preserve">haring Plans should be </w:t>
      </w:r>
      <w:r w:rsidR="00EA1A16" w:rsidRPr="00E40F5C">
        <w:rPr>
          <w:b/>
          <w:u w:val="single"/>
        </w:rPr>
        <w:t>forwarded</w:t>
      </w:r>
      <w:r w:rsidRPr="00E40F5C">
        <w:rPr>
          <w:b/>
        </w:rPr>
        <w:t xml:space="preserve"> to the Division of Local Government Audit in support of the Division of State Audit’s Opinion on the overall </w:t>
      </w:r>
      <w:r w:rsidR="00666569" w:rsidRPr="00E40F5C">
        <w:rPr>
          <w:b/>
        </w:rPr>
        <w:t>C</w:t>
      </w:r>
      <w:r w:rsidRPr="00E40F5C">
        <w:rPr>
          <w:b/>
        </w:rPr>
        <w:t>ost</w:t>
      </w:r>
      <w:r w:rsidR="00666569" w:rsidRPr="00E40F5C">
        <w:rPr>
          <w:b/>
        </w:rPr>
        <w:t>-</w:t>
      </w:r>
      <w:proofErr w:type="gramStart"/>
      <w:r w:rsidR="00666569" w:rsidRPr="00E40F5C">
        <w:rPr>
          <w:b/>
        </w:rPr>
        <w:t>S</w:t>
      </w:r>
      <w:r w:rsidRPr="00E40F5C">
        <w:rPr>
          <w:b/>
        </w:rPr>
        <w:t xml:space="preserve">haring </w:t>
      </w:r>
      <w:r w:rsidR="00597B9A" w:rsidRPr="00E40F5C">
        <w:rPr>
          <w:b/>
        </w:rPr>
        <w:t xml:space="preserve"> </w:t>
      </w:r>
      <w:r w:rsidRPr="00E40F5C">
        <w:rPr>
          <w:b/>
        </w:rPr>
        <w:t>plan</w:t>
      </w:r>
      <w:r w:rsidR="00C548A8" w:rsidRPr="00E40F5C">
        <w:rPr>
          <w:b/>
        </w:rPr>
        <w:t>s</w:t>
      </w:r>
      <w:proofErr w:type="gramEnd"/>
      <w:r w:rsidR="00597B9A" w:rsidRPr="00E40F5C">
        <w:rPr>
          <w:b/>
        </w:rPr>
        <w:t>.</w:t>
      </w:r>
      <w:r w:rsidR="00EB6DBE" w:rsidRPr="00E40F5C">
        <w:rPr>
          <w:b/>
        </w:rPr>
        <w:t xml:space="preserve"> </w:t>
      </w:r>
      <w:r w:rsidRPr="00E40F5C">
        <w:rPr>
          <w:b/>
        </w:rPr>
        <w:t xml:space="preserve"> The Division of Local Government Audit will collect these </w:t>
      </w:r>
      <w:proofErr w:type="spellStart"/>
      <w:r w:rsidRPr="00E40F5C">
        <w:rPr>
          <w:b/>
        </w:rPr>
        <w:t>workpapers</w:t>
      </w:r>
      <w:proofErr w:type="spellEnd"/>
      <w:proofErr w:type="gramStart"/>
      <w:r w:rsidR="005C055C" w:rsidRPr="00E40F5C">
        <w:rPr>
          <w:b/>
        </w:rPr>
        <w:t>;</w:t>
      </w:r>
      <w:r w:rsidRPr="00E40F5C">
        <w:rPr>
          <w:b/>
        </w:rPr>
        <w:t xml:space="preserve">  form</w:t>
      </w:r>
      <w:proofErr w:type="gramEnd"/>
      <w:r w:rsidRPr="00E40F5C">
        <w:rPr>
          <w:b/>
        </w:rPr>
        <w:t xml:space="preserve"> an overall purpose, source, and conclusion</w:t>
      </w:r>
      <w:r w:rsidR="005C055C" w:rsidRPr="00E40F5C">
        <w:rPr>
          <w:b/>
        </w:rPr>
        <w:t>;</w:t>
      </w:r>
      <w:r w:rsidR="00584159" w:rsidRPr="00E40F5C">
        <w:rPr>
          <w:b/>
        </w:rPr>
        <w:t xml:space="preserve"> and provide this information to the </w:t>
      </w:r>
      <w:r w:rsidR="00EA1A16" w:rsidRPr="00E40F5C">
        <w:rPr>
          <w:b/>
        </w:rPr>
        <w:t>Division of State Audit.</w:t>
      </w:r>
      <w:r w:rsidR="00440F69" w:rsidRPr="00E40F5C">
        <w:rPr>
          <w:b/>
        </w:rPr>
        <w:t xml:space="preserve">  </w:t>
      </w:r>
      <w:r w:rsidR="00440F69" w:rsidRPr="00E40F5C">
        <w:rPr>
          <w:b/>
          <w:i/>
        </w:rPr>
        <w:t>The entities selected for testing this rotation are Gibson County School District, Lenoir City Schools, and Metropolitan Davidson/Nashville Schools.</w:t>
      </w:r>
      <w:r w:rsidR="00440F69" w:rsidRPr="00E40F5C">
        <w:rPr>
          <w:b/>
        </w:rPr>
        <w:t xml:space="preserve">  If you are audit</w:t>
      </w:r>
      <w:r w:rsidR="0098536D" w:rsidRPr="00E40F5C">
        <w:rPr>
          <w:b/>
        </w:rPr>
        <w:t>ing</w:t>
      </w:r>
      <w:r w:rsidR="00440F69" w:rsidRPr="00E40F5C">
        <w:rPr>
          <w:b/>
        </w:rPr>
        <w:t xml:space="preserve"> these schools you have extra responsibility.  All other auditors have </w:t>
      </w:r>
      <w:r w:rsidR="00440F69" w:rsidRPr="00E40F5C">
        <w:rPr>
          <w:b/>
          <w:u w:val="single"/>
        </w:rPr>
        <w:t>no</w:t>
      </w:r>
      <w:r w:rsidR="00440F69" w:rsidRPr="00E40F5C">
        <w:rPr>
          <w:b/>
        </w:rPr>
        <w:t xml:space="preserve"> responsibility</w:t>
      </w:r>
      <w:r w:rsidR="00E326C3" w:rsidRPr="00E40F5C">
        <w:rPr>
          <w:b/>
        </w:rPr>
        <w:t xml:space="preserve"> to test census data for the </w:t>
      </w:r>
      <w:r w:rsidR="00C548A8" w:rsidRPr="00E40F5C">
        <w:rPr>
          <w:b/>
        </w:rPr>
        <w:t>C</w:t>
      </w:r>
      <w:r w:rsidR="00E326C3" w:rsidRPr="00E40F5C">
        <w:rPr>
          <w:b/>
        </w:rPr>
        <w:t>ost-</w:t>
      </w:r>
      <w:r w:rsidR="00C548A8" w:rsidRPr="00E40F5C">
        <w:rPr>
          <w:b/>
        </w:rPr>
        <w:t>S</w:t>
      </w:r>
      <w:r w:rsidR="00E326C3" w:rsidRPr="00E40F5C">
        <w:rPr>
          <w:b/>
        </w:rPr>
        <w:t xml:space="preserve">haring </w:t>
      </w:r>
      <w:r w:rsidR="00C548A8" w:rsidRPr="00E40F5C">
        <w:rPr>
          <w:b/>
        </w:rPr>
        <w:t>P</w:t>
      </w:r>
      <w:r w:rsidR="00E326C3" w:rsidRPr="00E40F5C">
        <w:rPr>
          <w:b/>
        </w:rPr>
        <w:t>lans</w:t>
      </w:r>
      <w:r w:rsidR="00440F69" w:rsidRPr="00E40F5C">
        <w:rPr>
          <w:b/>
        </w:rPr>
        <w:t>.</w:t>
      </w:r>
    </w:p>
    <w:p w:rsidR="0024308B" w:rsidRDefault="0024308B" w:rsidP="0024308B">
      <w:pPr>
        <w:pStyle w:val="ListParagraph"/>
        <w:rPr>
          <w:b/>
          <w:color w:val="C00000"/>
        </w:rPr>
      </w:pPr>
    </w:p>
    <w:p w:rsidR="009D779C" w:rsidRDefault="00B06F02" w:rsidP="00421D50">
      <w:pPr>
        <w:pStyle w:val="ListParagraph"/>
        <w:numPr>
          <w:ilvl w:val="0"/>
          <w:numId w:val="13"/>
        </w:numPr>
        <w:tabs>
          <w:tab w:val="left" w:pos="720"/>
          <w:tab w:val="left" w:pos="1440"/>
          <w:tab w:val="left" w:pos="2160"/>
          <w:tab w:val="left" w:pos="2880"/>
          <w:tab w:val="left" w:pos="3600"/>
          <w:tab w:val="left" w:pos="4320"/>
        </w:tabs>
        <w:jc w:val="both"/>
      </w:pPr>
      <w:r w:rsidRPr="009D779C">
        <w:rPr>
          <w:b/>
        </w:rPr>
        <w:t xml:space="preserve">IMPORTANT </w:t>
      </w:r>
      <w:r w:rsidR="009D779C" w:rsidRPr="009D779C">
        <w:rPr>
          <w:b/>
        </w:rPr>
        <w:t xml:space="preserve">CONTINUING </w:t>
      </w:r>
      <w:r w:rsidRPr="009D779C">
        <w:rPr>
          <w:b/>
        </w:rPr>
        <w:t xml:space="preserve">ISSUE:  </w:t>
      </w:r>
      <w:r w:rsidR="009D779C" w:rsidRPr="009D779C">
        <w:t>C</w:t>
      </w:r>
      <w:r w:rsidR="009D779C" w:rsidRPr="00A22065">
        <w:t>ertain Component</w:t>
      </w:r>
      <w:r w:rsidR="009D779C">
        <w:t xml:space="preserve"> Units </w:t>
      </w:r>
      <w:r w:rsidR="009D779C" w:rsidRPr="00A22065">
        <w:t xml:space="preserve">and Utilities have fiscal year end dates that are not June </w:t>
      </w:r>
      <w:proofErr w:type="gramStart"/>
      <w:r w:rsidR="009D779C" w:rsidRPr="00A22065">
        <w:t>30</w:t>
      </w:r>
      <w:r w:rsidR="009D779C" w:rsidRPr="009D779C">
        <w:rPr>
          <w:vertAlign w:val="superscript"/>
        </w:rPr>
        <w:t xml:space="preserve">  </w:t>
      </w:r>
      <w:r w:rsidR="009D779C">
        <w:t>(</w:t>
      </w:r>
      <w:proofErr w:type="gramEnd"/>
      <w:r w:rsidR="009D779C">
        <w:t>e.g. September 30</w:t>
      </w:r>
      <w:r w:rsidR="009D779C" w:rsidRPr="009D779C">
        <w:rPr>
          <w:vertAlign w:val="superscript"/>
        </w:rPr>
        <w:t xml:space="preserve"> </w:t>
      </w:r>
      <w:r w:rsidR="009D779C">
        <w:t>).</w:t>
      </w:r>
      <w:r w:rsidR="009D779C" w:rsidRPr="00A22065">
        <w:t xml:space="preserve">  </w:t>
      </w:r>
      <w:r w:rsidR="009D779C">
        <w:t>T</w:t>
      </w:r>
      <w:r w:rsidR="009D779C" w:rsidRPr="00A22065">
        <w:t xml:space="preserve">he </w:t>
      </w:r>
      <w:proofErr w:type="spellStart"/>
      <w:r w:rsidR="009D779C" w:rsidRPr="00A22065">
        <w:t>TCRS</w:t>
      </w:r>
      <w:proofErr w:type="spellEnd"/>
      <w:r w:rsidR="009D779C" w:rsidRPr="00A22065">
        <w:t xml:space="preserve"> valuation and measurement date </w:t>
      </w:r>
      <w:r w:rsidR="009D779C">
        <w:t xml:space="preserve">for local government employers </w:t>
      </w:r>
      <w:r w:rsidR="009D779C" w:rsidRPr="00A22065">
        <w:t xml:space="preserve">is June 30.  </w:t>
      </w:r>
      <w:proofErr w:type="spellStart"/>
      <w:r w:rsidR="009D779C" w:rsidRPr="00A22065">
        <w:t>GASB</w:t>
      </w:r>
      <w:proofErr w:type="spellEnd"/>
      <w:r w:rsidR="009D779C" w:rsidRPr="00A22065">
        <w:t xml:space="preserve"> 68 requires that the measurement date</w:t>
      </w:r>
      <w:r w:rsidR="009D779C">
        <w:t xml:space="preserve"> be </w:t>
      </w:r>
      <w:r w:rsidR="009D779C" w:rsidRPr="009D779C">
        <w:rPr>
          <w:b/>
          <w:u w:val="single"/>
        </w:rPr>
        <w:t>no more than one year</w:t>
      </w:r>
      <w:r w:rsidR="009D779C" w:rsidRPr="00A22065">
        <w:t xml:space="preserve"> fr</w:t>
      </w:r>
      <w:r w:rsidR="009D779C">
        <w:t>o</w:t>
      </w:r>
      <w:r w:rsidR="009D779C" w:rsidRPr="00A22065">
        <w:t xml:space="preserve">m the reporting date.  </w:t>
      </w:r>
      <w:r w:rsidR="009D779C">
        <w:t xml:space="preserve">This works perfectly for entities that report </w:t>
      </w:r>
      <w:r w:rsidR="00E40F5C">
        <w:t xml:space="preserve">on </w:t>
      </w:r>
      <w:r w:rsidR="009D779C">
        <w:t>a June 30, 201</w:t>
      </w:r>
      <w:r w:rsidR="00E40F5C">
        <w:t>6</w:t>
      </w:r>
      <w:r w:rsidR="009D779C">
        <w:t xml:space="preserve">, year-end.  </w:t>
      </w:r>
      <w:r w:rsidR="009D779C" w:rsidRPr="00A22065">
        <w:t xml:space="preserve">Unfortunately, </w:t>
      </w:r>
      <w:r w:rsidR="009D779C">
        <w:t xml:space="preserve">because of this one year requirement, </w:t>
      </w:r>
      <w:r w:rsidR="009D779C" w:rsidRPr="00A22065">
        <w:t xml:space="preserve">there is no </w:t>
      </w:r>
      <w:r w:rsidR="009D779C">
        <w:t>ideal</w:t>
      </w:r>
      <w:r w:rsidR="009D779C" w:rsidRPr="00A22065">
        <w:t xml:space="preserve"> solution </w:t>
      </w:r>
      <w:r w:rsidR="009D779C">
        <w:t>for</w:t>
      </w:r>
      <w:r w:rsidR="009D779C" w:rsidRPr="00A22065">
        <w:t xml:space="preserve"> reporting </w:t>
      </w:r>
      <w:r w:rsidR="009D779C">
        <w:t xml:space="preserve">pension costs for </w:t>
      </w:r>
      <w:r w:rsidR="009D779C" w:rsidRPr="00A22065">
        <w:t xml:space="preserve">entities </w:t>
      </w:r>
      <w:r w:rsidR="009D779C">
        <w:t xml:space="preserve">that have a fiscal year end </w:t>
      </w:r>
      <w:r w:rsidR="009D779C" w:rsidRPr="009D779C">
        <w:rPr>
          <w:b/>
        </w:rPr>
        <w:t>other</w:t>
      </w:r>
      <w:r w:rsidR="009D779C">
        <w:t xml:space="preserve"> than June 30.  These entities will</w:t>
      </w:r>
      <w:r w:rsidR="00D86F98">
        <w:t>,</w:t>
      </w:r>
      <w:r w:rsidR="009D779C">
        <w:t xml:space="preserve"> at a minimum</w:t>
      </w:r>
      <w:r w:rsidR="00D86F98">
        <w:t>,</w:t>
      </w:r>
      <w:r w:rsidR="009D779C">
        <w:t xml:space="preserve"> experience long delays in publishing their financial statements. </w:t>
      </w:r>
      <w:r w:rsidR="00D86F98">
        <w:t>Auditors should also keep in mind the nine</w:t>
      </w:r>
      <w:r w:rsidR="00CA0AB5">
        <w:t>-</w:t>
      </w:r>
      <w:r w:rsidR="00D86F98">
        <w:t xml:space="preserve">month deadline for filing Single Audit reports.  </w:t>
      </w:r>
      <w:r w:rsidR="009D779C">
        <w:t xml:space="preserve">Some </w:t>
      </w:r>
      <w:r w:rsidR="00D86F98">
        <w:t xml:space="preserve">thoughts and </w:t>
      </w:r>
      <w:r w:rsidR="009D779C">
        <w:t>suggestions that might be relevant are as follows:</w:t>
      </w:r>
    </w:p>
    <w:p w:rsidR="009D779C" w:rsidRDefault="009D779C" w:rsidP="009D779C">
      <w:pPr>
        <w:pStyle w:val="ListParagraph"/>
      </w:pPr>
    </w:p>
    <w:p w:rsidR="009D779C" w:rsidRDefault="009D779C" w:rsidP="004B05B9">
      <w:pPr>
        <w:pStyle w:val="ListParagraph"/>
        <w:numPr>
          <w:ilvl w:val="0"/>
          <w:numId w:val="25"/>
        </w:numPr>
        <w:tabs>
          <w:tab w:val="left" w:pos="720"/>
          <w:tab w:val="left" w:pos="1440"/>
          <w:tab w:val="left" w:pos="2160"/>
          <w:tab w:val="left" w:pos="2880"/>
          <w:tab w:val="left" w:pos="3600"/>
          <w:tab w:val="left" w:pos="4320"/>
        </w:tabs>
        <w:jc w:val="both"/>
      </w:pPr>
      <w:r>
        <w:t xml:space="preserve">The actuarial valuation and measurement date will </w:t>
      </w:r>
      <w:r w:rsidR="00717893">
        <w:t xml:space="preserve">always </w:t>
      </w:r>
      <w:r>
        <w:t>be June 30</w:t>
      </w:r>
      <w:r w:rsidR="00567FCE">
        <w:t>.</w:t>
      </w:r>
      <w:r>
        <w:t xml:space="preserve">  This cannot be changed for employers under </w:t>
      </w:r>
      <w:proofErr w:type="spellStart"/>
      <w:r>
        <w:t>TCRS</w:t>
      </w:r>
      <w:proofErr w:type="spellEnd"/>
      <w:r>
        <w:t xml:space="preserve"> plans.</w:t>
      </w:r>
      <w:r w:rsidR="00D86F98">
        <w:t xml:space="preserve">  If the employer has a year-end of July 31, August 31, or September 30, </w:t>
      </w:r>
      <w:r w:rsidR="00717893">
        <w:t xml:space="preserve">2015 or </w:t>
      </w:r>
      <w:r w:rsidR="00D86F98">
        <w:t>201</w:t>
      </w:r>
      <w:r w:rsidR="00717893">
        <w:t>6</w:t>
      </w:r>
      <w:r w:rsidR="00D86F98">
        <w:t xml:space="preserve">, there will be no way for this entity to utilize </w:t>
      </w:r>
      <w:r w:rsidR="00717893">
        <w:t xml:space="preserve">June 30, 2014 or </w:t>
      </w:r>
      <w:r w:rsidR="00D86F98">
        <w:t xml:space="preserve">June 30, 2015 actuarial measurements because of </w:t>
      </w:r>
      <w:proofErr w:type="spellStart"/>
      <w:r w:rsidR="00CA0AB5">
        <w:t>GASB’s</w:t>
      </w:r>
      <w:proofErr w:type="spellEnd"/>
      <w:r w:rsidR="00CA0AB5">
        <w:t xml:space="preserve"> </w:t>
      </w:r>
      <w:r w:rsidR="00D86F98">
        <w:t xml:space="preserve">one year requirement.   </w:t>
      </w:r>
    </w:p>
    <w:p w:rsidR="002321FE" w:rsidRDefault="002321FE" w:rsidP="002321FE">
      <w:pPr>
        <w:pStyle w:val="ListParagraph"/>
        <w:tabs>
          <w:tab w:val="left" w:pos="720"/>
          <w:tab w:val="left" w:pos="1440"/>
          <w:tab w:val="left" w:pos="2160"/>
          <w:tab w:val="left" w:pos="2880"/>
          <w:tab w:val="left" w:pos="3600"/>
          <w:tab w:val="left" w:pos="4320"/>
        </w:tabs>
        <w:ind w:left="1440"/>
        <w:jc w:val="both"/>
      </w:pPr>
    </w:p>
    <w:p w:rsidR="009D779C" w:rsidRPr="00E40F5C" w:rsidRDefault="00CA0AB5" w:rsidP="004B05B9">
      <w:pPr>
        <w:pStyle w:val="ListParagraph"/>
        <w:numPr>
          <w:ilvl w:val="0"/>
          <w:numId w:val="25"/>
        </w:numPr>
        <w:tabs>
          <w:tab w:val="left" w:pos="720"/>
          <w:tab w:val="left" w:pos="1440"/>
          <w:tab w:val="left" w:pos="2160"/>
          <w:tab w:val="left" w:pos="2880"/>
          <w:tab w:val="left" w:pos="3600"/>
          <w:tab w:val="left" w:pos="4320"/>
        </w:tabs>
        <w:jc w:val="both"/>
        <w:rPr>
          <w:b/>
        </w:rPr>
      </w:pPr>
      <w:r>
        <w:rPr>
          <w:b/>
        </w:rPr>
        <w:t>E</w:t>
      </w:r>
      <w:r w:rsidR="009D779C" w:rsidRPr="00E40F5C">
        <w:rPr>
          <w:b/>
        </w:rPr>
        <w:t xml:space="preserve">ntities </w:t>
      </w:r>
      <w:r>
        <w:rPr>
          <w:b/>
        </w:rPr>
        <w:t xml:space="preserve">with other than a June 30 year-end </w:t>
      </w:r>
      <w:r w:rsidR="009D779C" w:rsidRPr="00E40F5C">
        <w:rPr>
          <w:b/>
        </w:rPr>
        <w:t>should consider changing their year-end.</w:t>
      </w:r>
    </w:p>
    <w:p w:rsidR="009D779C" w:rsidRDefault="009D779C" w:rsidP="009D779C">
      <w:pPr>
        <w:pStyle w:val="ListParagraph"/>
      </w:pPr>
    </w:p>
    <w:p w:rsidR="009D779C" w:rsidRDefault="009D779C" w:rsidP="004B05B9">
      <w:pPr>
        <w:pStyle w:val="ListParagraph"/>
        <w:numPr>
          <w:ilvl w:val="0"/>
          <w:numId w:val="25"/>
        </w:numPr>
        <w:tabs>
          <w:tab w:val="left" w:pos="720"/>
          <w:tab w:val="left" w:pos="1440"/>
          <w:tab w:val="left" w:pos="2160"/>
          <w:tab w:val="left" w:pos="2880"/>
          <w:tab w:val="left" w:pos="3600"/>
          <w:tab w:val="left" w:pos="4320"/>
        </w:tabs>
        <w:jc w:val="both"/>
      </w:pPr>
      <w:r>
        <w:t>An opinion could be issued as of June 30 regardless of the normal year-end.</w:t>
      </w:r>
    </w:p>
    <w:p w:rsidR="009D779C" w:rsidRDefault="009D779C" w:rsidP="009D779C">
      <w:pPr>
        <w:pStyle w:val="ListParagraph"/>
      </w:pPr>
    </w:p>
    <w:p w:rsidR="00717893" w:rsidRDefault="00717893" w:rsidP="009D779C">
      <w:pPr>
        <w:pStyle w:val="ListParagraph"/>
      </w:pPr>
    </w:p>
    <w:p w:rsidR="00717893" w:rsidRDefault="00717893" w:rsidP="009D779C">
      <w:pPr>
        <w:pStyle w:val="ListParagraph"/>
      </w:pPr>
    </w:p>
    <w:p w:rsidR="00717893" w:rsidRDefault="00717893" w:rsidP="009D779C">
      <w:pPr>
        <w:pStyle w:val="ListParagraph"/>
      </w:pPr>
    </w:p>
    <w:p w:rsidR="00717893" w:rsidRDefault="00717893" w:rsidP="009D779C">
      <w:pPr>
        <w:pStyle w:val="ListParagraph"/>
      </w:pPr>
    </w:p>
    <w:p w:rsidR="00717893" w:rsidRDefault="00717893" w:rsidP="009D779C">
      <w:pPr>
        <w:pStyle w:val="ListParagraph"/>
      </w:pPr>
    </w:p>
    <w:p w:rsidR="009D779C" w:rsidRDefault="009D779C" w:rsidP="004B05B9">
      <w:pPr>
        <w:pStyle w:val="ListParagraph"/>
        <w:numPr>
          <w:ilvl w:val="0"/>
          <w:numId w:val="25"/>
        </w:numPr>
        <w:tabs>
          <w:tab w:val="left" w:pos="720"/>
          <w:tab w:val="left" w:pos="1440"/>
          <w:tab w:val="left" w:pos="2160"/>
          <w:tab w:val="left" w:pos="2880"/>
          <w:tab w:val="left" w:pos="3600"/>
          <w:tab w:val="left" w:pos="4320"/>
        </w:tabs>
        <w:jc w:val="both"/>
      </w:pPr>
      <w:r>
        <w:lastRenderedPageBreak/>
        <w:t>The difference between September 30, 2015</w:t>
      </w:r>
      <w:r w:rsidR="00717893">
        <w:t xml:space="preserve"> or 2016</w:t>
      </w:r>
      <w:r>
        <w:t xml:space="preserve"> pension reporting and June 30, 201</w:t>
      </w:r>
      <w:r w:rsidR="00717893">
        <w:t>4 or 2015 measurement date</w:t>
      </w:r>
      <w:r>
        <w:t xml:space="preserve"> reporting </w:t>
      </w:r>
      <w:r w:rsidRPr="00E40F5C">
        <w:rPr>
          <w:b/>
        </w:rPr>
        <w:t>might</w:t>
      </w:r>
      <w:r>
        <w:t xml:space="preserve"> not be </w:t>
      </w:r>
      <w:r w:rsidRPr="00650954">
        <w:rPr>
          <w:b/>
          <w:u w:val="single"/>
        </w:rPr>
        <w:t>material</w:t>
      </w:r>
      <w:r>
        <w:t xml:space="preserve">.  </w:t>
      </w:r>
      <w:r w:rsidRPr="00A22065">
        <w:t xml:space="preserve">Auditors will need to consider </w:t>
      </w:r>
      <w:r w:rsidR="002321FE">
        <w:t xml:space="preserve">materiality and </w:t>
      </w:r>
      <w:r w:rsidRPr="00A22065">
        <w:t>whether or not a modified opinion is required.</w:t>
      </w:r>
      <w:r w:rsidR="0095660A">
        <w:t xml:space="preserve">  Auditors must have a documented and reasonable basis for determining materiality.  In </w:t>
      </w:r>
      <w:r w:rsidR="004859F0">
        <w:t>our</w:t>
      </w:r>
      <w:r w:rsidR="0095660A">
        <w:t xml:space="preserve"> judgment, this is difficult </w:t>
      </w:r>
      <w:r w:rsidR="002321FE">
        <w:t xml:space="preserve">if not impossible </w:t>
      </w:r>
      <w:r w:rsidR="0095660A">
        <w:t xml:space="preserve">to do.  The only way that seems plausible to </w:t>
      </w:r>
      <w:r w:rsidR="004859F0">
        <w:t>us</w:t>
      </w:r>
      <w:r w:rsidR="0095660A">
        <w:t xml:space="preserve"> is to hire an actuary to perform additional work</w:t>
      </w:r>
      <w:r w:rsidR="002321FE">
        <w:t xml:space="preserve"> based on the </w:t>
      </w:r>
      <w:r w:rsidR="003F610C">
        <w:t xml:space="preserve">June </w:t>
      </w:r>
      <w:proofErr w:type="gramStart"/>
      <w:r w:rsidR="003F610C">
        <w:t xml:space="preserve">30 </w:t>
      </w:r>
      <w:r w:rsidR="00717893">
        <w:t xml:space="preserve"> </w:t>
      </w:r>
      <w:proofErr w:type="spellStart"/>
      <w:r w:rsidR="002321FE">
        <w:t>TCRS</w:t>
      </w:r>
      <w:proofErr w:type="spellEnd"/>
      <w:proofErr w:type="gramEnd"/>
      <w:r w:rsidR="002321FE">
        <w:t xml:space="preserve"> information.</w:t>
      </w:r>
    </w:p>
    <w:p w:rsidR="004E5B0B" w:rsidRDefault="004E5B0B" w:rsidP="004E5B0B">
      <w:pPr>
        <w:pStyle w:val="ListParagraph"/>
      </w:pPr>
    </w:p>
    <w:p w:rsidR="004E5B0B" w:rsidRPr="004E5B0B" w:rsidRDefault="004E5B0B" w:rsidP="00421D50">
      <w:pPr>
        <w:pStyle w:val="NoSpacing"/>
        <w:numPr>
          <w:ilvl w:val="0"/>
          <w:numId w:val="13"/>
        </w:numPr>
        <w:tabs>
          <w:tab w:val="left" w:pos="720"/>
          <w:tab w:val="left" w:pos="1440"/>
          <w:tab w:val="left" w:pos="2160"/>
          <w:tab w:val="left" w:pos="2880"/>
          <w:tab w:val="left" w:pos="3600"/>
          <w:tab w:val="left" w:pos="4320"/>
        </w:tabs>
        <w:jc w:val="both"/>
        <w:rPr>
          <w:b/>
          <w:color w:val="C00000"/>
        </w:rPr>
      </w:pPr>
      <w:r w:rsidRPr="004E5B0B">
        <w:rPr>
          <w:b/>
        </w:rPr>
        <w:t>FIDUCIARY RESPONSIBILITY:</w:t>
      </w:r>
      <w:r>
        <w:t xml:space="preserve">  Questions frequently arise about whether or not Pension Plan Financial Statements should be included in the Financial Statements of a particular government or component unit.  The entire issue hinges on the concept of </w:t>
      </w:r>
      <w:r w:rsidRPr="004E5B0B">
        <w:rPr>
          <w:b/>
        </w:rPr>
        <w:t>Fiduciary Responsibility</w:t>
      </w:r>
      <w:r>
        <w:t xml:space="preserve">. In our judgment, the best explanation of Fiduciary Responsibility can be found in a </w:t>
      </w:r>
      <w:proofErr w:type="spellStart"/>
      <w:r w:rsidRPr="004E5B0B">
        <w:rPr>
          <w:b/>
        </w:rPr>
        <w:t>GASB</w:t>
      </w:r>
      <w:proofErr w:type="spellEnd"/>
      <w:r w:rsidRPr="004E5B0B">
        <w:rPr>
          <w:b/>
        </w:rPr>
        <w:t xml:space="preserve"> Exposure Draft</w:t>
      </w:r>
      <w:r>
        <w:t xml:space="preserve"> that is currently outstanding titled </w:t>
      </w:r>
      <w:r w:rsidRPr="004B05B9">
        <w:rPr>
          <w:b/>
          <w:i/>
        </w:rPr>
        <w:t>F</w:t>
      </w:r>
      <w:r w:rsidRPr="004E5B0B">
        <w:rPr>
          <w:b/>
          <w:i/>
        </w:rPr>
        <w:t>iduciary Activities</w:t>
      </w:r>
      <w:r>
        <w:t xml:space="preserve">.  </w:t>
      </w:r>
      <w:r w:rsidRPr="004E5B0B">
        <w:t>While this document is not GAAP yet, it does give CPAs more guidance than is currently available anywhere else.</w:t>
      </w:r>
      <w:r w:rsidRPr="004E5B0B">
        <w:rPr>
          <w:b/>
        </w:rPr>
        <w:t xml:space="preserve"> </w:t>
      </w:r>
      <w:r w:rsidR="00727362">
        <w:t xml:space="preserve">Based on our conversations with </w:t>
      </w:r>
      <w:proofErr w:type="spellStart"/>
      <w:r w:rsidR="00727362">
        <w:t>GASB</w:t>
      </w:r>
      <w:proofErr w:type="spellEnd"/>
      <w:r w:rsidR="00727362">
        <w:t xml:space="preserve">, the Exposure Draft describes what should </w:t>
      </w:r>
      <w:r w:rsidR="00F46896">
        <w:t xml:space="preserve">already </w:t>
      </w:r>
      <w:r w:rsidR="00727362">
        <w:t xml:space="preserve">be current practice.  </w:t>
      </w:r>
      <w:r>
        <w:t xml:space="preserve">The Division of Local Government Audit is in the process of writing a memo to explain how we view the concept of Fiduciary Responsibility.  The memo should be </w:t>
      </w:r>
      <w:r w:rsidR="000D1E6E">
        <w:t>finished</w:t>
      </w:r>
      <w:r>
        <w:t xml:space="preserve"> sometime in October. </w:t>
      </w:r>
    </w:p>
    <w:p w:rsidR="004E5B0B" w:rsidRDefault="004E5B0B" w:rsidP="004E5B0B">
      <w:pPr>
        <w:pStyle w:val="ListParagraph"/>
        <w:tabs>
          <w:tab w:val="left" w:pos="720"/>
          <w:tab w:val="left" w:pos="1440"/>
          <w:tab w:val="left" w:pos="2160"/>
          <w:tab w:val="left" w:pos="2880"/>
          <w:tab w:val="left" w:pos="3600"/>
          <w:tab w:val="left" w:pos="4320"/>
        </w:tabs>
        <w:ind w:left="360"/>
        <w:jc w:val="both"/>
      </w:pPr>
    </w:p>
    <w:p w:rsidR="004E5B0B" w:rsidRDefault="005E66E7" w:rsidP="004E5B0B">
      <w:pPr>
        <w:pStyle w:val="ListParagraph"/>
        <w:tabs>
          <w:tab w:val="left" w:pos="720"/>
          <w:tab w:val="left" w:pos="1440"/>
          <w:tab w:val="left" w:pos="2160"/>
          <w:tab w:val="left" w:pos="2880"/>
          <w:tab w:val="left" w:pos="3600"/>
          <w:tab w:val="left" w:pos="4320"/>
        </w:tabs>
        <w:ind w:left="360"/>
        <w:jc w:val="both"/>
      </w:pPr>
      <w:r w:rsidRPr="004E5B0B">
        <w:t>Th</w:t>
      </w:r>
      <w:r w:rsidR="004B05B9">
        <w:t>e Exposure Draft</w:t>
      </w:r>
      <w:r w:rsidRPr="004E5B0B">
        <w:t xml:space="preserve"> can be obtained at </w:t>
      </w:r>
      <w:proofErr w:type="spellStart"/>
      <w:r w:rsidRPr="004E5B0B">
        <w:t>GASB’s</w:t>
      </w:r>
      <w:proofErr w:type="spellEnd"/>
      <w:r w:rsidRPr="004E5B0B">
        <w:t xml:space="preserve"> website: </w:t>
      </w:r>
      <w:r w:rsidR="00457989">
        <w:t xml:space="preserve">  </w:t>
      </w:r>
      <w:hyperlink r:id="rId13" w:history="1">
        <w:r w:rsidR="00457989" w:rsidRPr="001A4A37">
          <w:rPr>
            <w:rStyle w:val="Hyperlink"/>
          </w:rPr>
          <w:t>http://www.gasb.org/jsp/GASB/Document_C/GASBDocumentPage?cid=1176167745133&amp;acceptedDisclaimer=true</w:t>
        </w:r>
      </w:hyperlink>
    </w:p>
    <w:p w:rsidR="00457989" w:rsidRPr="004E5B0B" w:rsidRDefault="00457989" w:rsidP="004E5B0B">
      <w:pPr>
        <w:pStyle w:val="ListParagraph"/>
        <w:tabs>
          <w:tab w:val="left" w:pos="720"/>
          <w:tab w:val="left" w:pos="1440"/>
          <w:tab w:val="left" w:pos="2160"/>
          <w:tab w:val="left" w:pos="2880"/>
          <w:tab w:val="left" w:pos="3600"/>
          <w:tab w:val="left" w:pos="4320"/>
        </w:tabs>
        <w:ind w:left="360"/>
        <w:jc w:val="both"/>
      </w:pPr>
    </w:p>
    <w:p w:rsidR="005E66E7" w:rsidRPr="00457989" w:rsidRDefault="004B05B9" w:rsidP="00421D50">
      <w:pPr>
        <w:pStyle w:val="NoSpacing"/>
        <w:numPr>
          <w:ilvl w:val="0"/>
          <w:numId w:val="13"/>
        </w:numPr>
        <w:jc w:val="both"/>
      </w:pPr>
      <w:r>
        <w:t>Even if a Fiduciary Responsibility exists, n</w:t>
      </w:r>
      <w:r w:rsidR="005E66E7" w:rsidRPr="00457989">
        <w:t xml:space="preserve">othing in the previous paragraph is intended to prevent separate reporting for a </w:t>
      </w:r>
      <w:r>
        <w:t>G</w:t>
      </w:r>
      <w:r w:rsidR="005E66E7" w:rsidRPr="00457989">
        <w:t>overnment and its Pension Plan</w:t>
      </w:r>
      <w:r w:rsidR="00624C21">
        <w:t xml:space="preserve"> (i.e. Trust Fund)</w:t>
      </w:r>
      <w:r w:rsidR="005E66E7" w:rsidRPr="00457989">
        <w:t xml:space="preserve"> provided adequate reporting and disclosures are made.</w:t>
      </w:r>
    </w:p>
    <w:p w:rsidR="00E326C3" w:rsidRDefault="00E326C3" w:rsidP="00E326C3">
      <w:pPr>
        <w:pStyle w:val="ListParagraph"/>
        <w:rPr>
          <w:b/>
          <w:color w:val="C00000"/>
        </w:rPr>
      </w:pPr>
    </w:p>
    <w:p w:rsidR="00E326C3" w:rsidRDefault="006308CF" w:rsidP="00587B9A">
      <w:pPr>
        <w:pStyle w:val="NoSpacing"/>
        <w:numPr>
          <w:ilvl w:val="0"/>
          <w:numId w:val="13"/>
        </w:numPr>
        <w:jc w:val="both"/>
      </w:pPr>
      <w:r w:rsidRPr="009F3659">
        <w:rPr>
          <w:b/>
        </w:rPr>
        <w:t>IMPORTANT CONTINUING ISSUE:</w:t>
      </w:r>
      <w:r>
        <w:t xml:space="preserve">  </w:t>
      </w:r>
      <w:r w:rsidR="009A7F82">
        <w:t>We</w:t>
      </w:r>
      <w:r w:rsidR="00E326C3">
        <w:t xml:space="preserve"> have received several questions about how Net Pension Assets should be presented in the Net Position Section of our Statement of Net Position.  We have been in contact with </w:t>
      </w:r>
      <w:proofErr w:type="spellStart"/>
      <w:r w:rsidR="00E326C3">
        <w:t>GASB</w:t>
      </w:r>
      <w:proofErr w:type="spellEnd"/>
      <w:r w:rsidR="00E326C3">
        <w:t xml:space="preserve"> about this matter and have received the following, somewhat ambiguous, </w:t>
      </w:r>
      <w:r w:rsidR="0098536D">
        <w:t>response</w:t>
      </w:r>
      <w:r w:rsidR="00E326C3">
        <w:t xml:space="preserve">.  </w:t>
      </w:r>
      <w:r w:rsidR="00183CCA">
        <w:t xml:space="preserve">I should preface </w:t>
      </w:r>
      <w:proofErr w:type="spellStart"/>
      <w:r w:rsidR="00183CCA">
        <w:t>GASB’s</w:t>
      </w:r>
      <w:proofErr w:type="spellEnd"/>
      <w:r w:rsidR="00183CCA">
        <w:t xml:space="preserve"> response by saying that</w:t>
      </w:r>
      <w:r w:rsidR="00E326C3">
        <w:t xml:space="preserve"> </w:t>
      </w:r>
      <w:r w:rsidR="0098536D">
        <w:t>L</w:t>
      </w:r>
      <w:r w:rsidR="00A67001">
        <w:t xml:space="preserve">ocal </w:t>
      </w:r>
      <w:r w:rsidR="0098536D">
        <w:t>G</w:t>
      </w:r>
      <w:r w:rsidR="00A67001">
        <w:t xml:space="preserve">overnment </w:t>
      </w:r>
      <w:r w:rsidR="0098536D">
        <w:t>A</w:t>
      </w:r>
      <w:r w:rsidR="00A67001">
        <w:t>udit</w:t>
      </w:r>
      <w:r w:rsidR="009F3659">
        <w:t xml:space="preserve"> </w:t>
      </w:r>
      <w:r w:rsidR="00183CCA">
        <w:t>views</w:t>
      </w:r>
      <w:r w:rsidR="00E326C3">
        <w:t xml:space="preserve"> </w:t>
      </w:r>
      <w:r w:rsidR="00183CCA">
        <w:t xml:space="preserve">a </w:t>
      </w:r>
      <w:r w:rsidR="0098536D">
        <w:t xml:space="preserve">Net Pension Asset </w:t>
      </w:r>
      <w:r w:rsidR="00183CCA">
        <w:t>as</w:t>
      </w:r>
      <w:r w:rsidR="00E326C3">
        <w:t xml:space="preserve"> a </w:t>
      </w:r>
      <w:r w:rsidR="00E326C3" w:rsidRPr="009F3659">
        <w:rPr>
          <w:u w:val="single"/>
        </w:rPr>
        <w:t>restricted asset</w:t>
      </w:r>
      <w:r w:rsidR="00E326C3">
        <w:t xml:space="preserve">.  </w:t>
      </w:r>
      <w:proofErr w:type="spellStart"/>
      <w:r w:rsidR="00E326C3">
        <w:t>GASB</w:t>
      </w:r>
      <w:proofErr w:type="spellEnd"/>
      <w:r w:rsidR="00E326C3">
        <w:t xml:space="preserve"> advised us to follow </w:t>
      </w:r>
      <w:proofErr w:type="spellStart"/>
      <w:r w:rsidR="00E326C3">
        <w:t>GASB</w:t>
      </w:r>
      <w:proofErr w:type="spellEnd"/>
      <w:r w:rsidR="00E326C3">
        <w:t xml:space="preserve"> 63.10 which requires netting of restricted assets and deferred </w:t>
      </w:r>
      <w:r w:rsidR="00E326C3" w:rsidRPr="009F3659">
        <w:rPr>
          <w:b/>
        </w:rPr>
        <w:t>“inflows”</w:t>
      </w:r>
      <w:r w:rsidR="00E326C3">
        <w:t xml:space="preserve"> of resources.  Deferred “outflows” would </w:t>
      </w:r>
      <w:r w:rsidR="00E326C3" w:rsidRPr="00183CCA">
        <w:rPr>
          <w:b/>
          <w:i/>
          <w:u w:val="single"/>
        </w:rPr>
        <w:t>not</w:t>
      </w:r>
      <w:r w:rsidR="00E326C3">
        <w:t xml:space="preserve"> be included.  We then asked </w:t>
      </w:r>
      <w:proofErr w:type="spellStart"/>
      <w:r w:rsidR="00E326C3">
        <w:t>GASB</w:t>
      </w:r>
      <w:proofErr w:type="spellEnd"/>
      <w:r w:rsidR="00E326C3">
        <w:t xml:space="preserve"> about contributions after the measurement date and were again advised to follow </w:t>
      </w:r>
      <w:proofErr w:type="spellStart"/>
      <w:r w:rsidR="00E326C3">
        <w:t>GASB</w:t>
      </w:r>
      <w:proofErr w:type="spellEnd"/>
      <w:r w:rsidR="00E326C3">
        <w:t xml:space="preserve"> 63.10.  We later received an unsolicited call back from </w:t>
      </w:r>
      <w:proofErr w:type="spellStart"/>
      <w:r w:rsidR="00E326C3">
        <w:t>GASB</w:t>
      </w:r>
      <w:proofErr w:type="spellEnd"/>
      <w:r w:rsidR="00E326C3">
        <w:t xml:space="preserve"> advising that </w:t>
      </w:r>
      <w:proofErr w:type="spellStart"/>
      <w:r w:rsidR="00E326C3">
        <w:t>GASB</w:t>
      </w:r>
      <w:proofErr w:type="spellEnd"/>
      <w:r w:rsidR="00E326C3">
        <w:t xml:space="preserve"> intends to address this issue in an Implementation Guide</w:t>
      </w:r>
      <w:r w:rsidR="0098536D">
        <w:t>,</w:t>
      </w:r>
      <w:r w:rsidR="00E326C3">
        <w:t xml:space="preserve"> </w:t>
      </w:r>
      <w:r w:rsidR="0098536D">
        <w:t>a</w:t>
      </w:r>
      <w:r w:rsidR="00E326C3">
        <w:t xml:space="preserve">t which time, </w:t>
      </w:r>
      <w:proofErr w:type="spellStart"/>
      <w:r w:rsidR="00E326C3">
        <w:t>GASB</w:t>
      </w:r>
      <w:proofErr w:type="spellEnd"/>
      <w:r w:rsidR="00E326C3">
        <w:t xml:space="preserve"> intends to recommend that a Net Pension </w:t>
      </w:r>
      <w:r w:rsidR="0098536D">
        <w:t>Asset</w:t>
      </w:r>
      <w:r w:rsidR="00E326C3">
        <w:t xml:space="preserve"> </w:t>
      </w:r>
      <w:r w:rsidR="00556956">
        <w:t xml:space="preserve">should be presented without </w:t>
      </w:r>
      <w:r>
        <w:t>netting</w:t>
      </w:r>
      <w:r w:rsidR="00556956">
        <w:t xml:space="preserve"> </w:t>
      </w:r>
      <w:r w:rsidR="0098536D">
        <w:t xml:space="preserve">either </w:t>
      </w:r>
      <w:r w:rsidR="00556956">
        <w:t xml:space="preserve">deferred </w:t>
      </w:r>
      <w:r w:rsidR="00556956" w:rsidRPr="009F3659">
        <w:rPr>
          <w:u w:val="single"/>
        </w:rPr>
        <w:t>inflows</w:t>
      </w:r>
      <w:r w:rsidR="00556956">
        <w:t xml:space="preserve"> or deferred </w:t>
      </w:r>
      <w:r w:rsidR="00556956" w:rsidRPr="009F3659">
        <w:rPr>
          <w:u w:val="single"/>
        </w:rPr>
        <w:t>outflows</w:t>
      </w:r>
      <w:r w:rsidR="00556956">
        <w:t xml:space="preserve">.  </w:t>
      </w:r>
      <w:r w:rsidR="00556956" w:rsidRPr="009F3659">
        <w:rPr>
          <w:b/>
        </w:rPr>
        <w:t xml:space="preserve">Accordingly, Local Government Audit is presenting Net Pension Assets as a separate line (Restricted for Other Purposes) in </w:t>
      </w:r>
      <w:r w:rsidR="00183CCA">
        <w:rPr>
          <w:b/>
        </w:rPr>
        <w:t xml:space="preserve">the </w:t>
      </w:r>
      <w:bookmarkStart w:id="0" w:name="_GoBack"/>
      <w:bookmarkEnd w:id="0"/>
      <w:r w:rsidR="00556956" w:rsidRPr="009F3659">
        <w:rPr>
          <w:b/>
        </w:rPr>
        <w:t xml:space="preserve">Restricted Net </w:t>
      </w:r>
      <w:r w:rsidR="004B2749">
        <w:rPr>
          <w:b/>
        </w:rPr>
        <w:t>Position section</w:t>
      </w:r>
      <w:r w:rsidR="00556956" w:rsidRPr="009F3659">
        <w:rPr>
          <w:b/>
        </w:rPr>
        <w:t xml:space="preserve"> without any adjustment for deferred inflows or deferred outflows.</w:t>
      </w:r>
      <w:r w:rsidR="00556956">
        <w:t xml:space="preserve">  </w:t>
      </w:r>
    </w:p>
    <w:p w:rsidR="00481E4B" w:rsidRDefault="00481E4B" w:rsidP="00481E4B">
      <w:pPr>
        <w:pStyle w:val="ListParagraph"/>
        <w:rPr>
          <w:b/>
          <w:color w:val="C00000"/>
        </w:rPr>
      </w:pPr>
    </w:p>
    <w:p w:rsidR="00853501" w:rsidRDefault="00590D9F" w:rsidP="00421D50">
      <w:pPr>
        <w:pStyle w:val="NoSpacing"/>
        <w:numPr>
          <w:ilvl w:val="0"/>
          <w:numId w:val="13"/>
        </w:numPr>
        <w:jc w:val="both"/>
      </w:pPr>
      <w:r>
        <w:t xml:space="preserve">This memo only addresses employers who participate in </w:t>
      </w:r>
      <w:proofErr w:type="spellStart"/>
      <w:r>
        <w:t>TCRS</w:t>
      </w:r>
      <w:proofErr w:type="spellEnd"/>
      <w:r>
        <w:t xml:space="preserve"> pension plan</w:t>
      </w:r>
      <w:r w:rsidR="004859F0">
        <w:t>s</w:t>
      </w:r>
      <w:r w:rsidR="006436E8">
        <w:t>.</w:t>
      </w:r>
      <w:r w:rsidR="00853501">
        <w:t xml:space="preserve">  </w:t>
      </w:r>
    </w:p>
    <w:p w:rsidR="00853501" w:rsidRDefault="00853501" w:rsidP="00853501">
      <w:pPr>
        <w:pStyle w:val="ListParagraph"/>
      </w:pPr>
    </w:p>
    <w:p w:rsidR="00717893" w:rsidRDefault="00717893" w:rsidP="00853501">
      <w:pPr>
        <w:pStyle w:val="ListParagraph"/>
      </w:pPr>
    </w:p>
    <w:p w:rsidR="00717893" w:rsidRDefault="00717893" w:rsidP="00853501">
      <w:pPr>
        <w:pStyle w:val="ListParagraph"/>
      </w:pPr>
    </w:p>
    <w:p w:rsidR="00717893" w:rsidRDefault="00717893" w:rsidP="00853501">
      <w:pPr>
        <w:pStyle w:val="ListParagraph"/>
      </w:pPr>
    </w:p>
    <w:p w:rsidR="00157EC3" w:rsidRDefault="006436E8" w:rsidP="00421D50">
      <w:pPr>
        <w:pStyle w:val="NoSpacing"/>
        <w:numPr>
          <w:ilvl w:val="0"/>
          <w:numId w:val="13"/>
        </w:numPr>
        <w:jc w:val="both"/>
      </w:pPr>
      <w:r>
        <w:lastRenderedPageBreak/>
        <w:t xml:space="preserve">Auditors should be aware of new </w:t>
      </w:r>
      <w:proofErr w:type="spellStart"/>
      <w:r w:rsidR="00157EC3">
        <w:t>GASB</w:t>
      </w:r>
      <w:proofErr w:type="spellEnd"/>
      <w:r w:rsidR="00157EC3">
        <w:t xml:space="preserve"> </w:t>
      </w:r>
      <w:r>
        <w:t xml:space="preserve">pronouncements.  </w:t>
      </w:r>
      <w:proofErr w:type="spellStart"/>
      <w:r>
        <w:t>GASB</w:t>
      </w:r>
      <w:proofErr w:type="spellEnd"/>
      <w:r>
        <w:t xml:space="preserve"> Statements </w:t>
      </w:r>
      <w:r w:rsidR="00157EC3">
        <w:t>73, 78, and 82</w:t>
      </w:r>
      <w:r w:rsidR="00A61FF2">
        <w:t xml:space="preserve"> have been issued</w:t>
      </w:r>
      <w:r w:rsidR="00157EC3">
        <w:t>.</w:t>
      </w:r>
      <w:r>
        <w:t xml:space="preserve">  Paragraph 4 of Statement 73 as it relates to </w:t>
      </w:r>
      <w:r w:rsidRPr="006436E8">
        <w:rPr>
          <w:i/>
        </w:rPr>
        <w:t xml:space="preserve">Assets Accumulated </w:t>
      </w:r>
      <w:proofErr w:type="gramStart"/>
      <w:r w:rsidR="00A61FF2">
        <w:rPr>
          <w:i/>
        </w:rPr>
        <w:t>F</w:t>
      </w:r>
      <w:r w:rsidRPr="006436E8">
        <w:rPr>
          <w:i/>
        </w:rPr>
        <w:t xml:space="preserve">or Purposes </w:t>
      </w:r>
      <w:r w:rsidR="00A61FF2">
        <w:rPr>
          <w:i/>
        </w:rPr>
        <w:t>O</w:t>
      </w:r>
      <w:r w:rsidRPr="006436E8">
        <w:rPr>
          <w:i/>
        </w:rPr>
        <w:t xml:space="preserve">f Providing Pensions </w:t>
      </w:r>
      <w:r w:rsidR="00A61FF2">
        <w:rPr>
          <w:i/>
        </w:rPr>
        <w:t>T</w:t>
      </w:r>
      <w:r w:rsidRPr="006436E8">
        <w:rPr>
          <w:i/>
        </w:rPr>
        <w:t xml:space="preserve">hrough Defined Benefit Pension Plans That Are Not Administered </w:t>
      </w:r>
      <w:r>
        <w:rPr>
          <w:i/>
        </w:rPr>
        <w:t>T</w:t>
      </w:r>
      <w:r w:rsidRPr="006436E8">
        <w:rPr>
          <w:i/>
        </w:rPr>
        <w:t>hrough</w:t>
      </w:r>
      <w:proofErr w:type="gramEnd"/>
      <w:r w:rsidRPr="006436E8">
        <w:rPr>
          <w:i/>
        </w:rPr>
        <w:t xml:space="preserve"> Trusts</w:t>
      </w:r>
      <w:r>
        <w:rPr>
          <w:i/>
        </w:rPr>
        <w:t xml:space="preserve">, </w:t>
      </w:r>
      <w:r>
        <w:t xml:space="preserve">is effective for years beginning after </w:t>
      </w:r>
      <w:r w:rsidRPr="006436E8">
        <w:rPr>
          <w:b/>
        </w:rPr>
        <w:t xml:space="preserve">June </w:t>
      </w:r>
      <w:r w:rsidR="00C316F2">
        <w:rPr>
          <w:b/>
        </w:rPr>
        <w:t>15</w:t>
      </w:r>
      <w:r w:rsidRPr="006436E8">
        <w:rPr>
          <w:b/>
        </w:rPr>
        <w:t>, 2015</w:t>
      </w:r>
      <w:r>
        <w:t xml:space="preserve">.  </w:t>
      </w:r>
      <w:proofErr w:type="spellStart"/>
      <w:r>
        <w:t>GASB</w:t>
      </w:r>
      <w:proofErr w:type="spellEnd"/>
      <w:r>
        <w:t xml:space="preserve"> Statement 78 is effective for calendar year entities for the </w:t>
      </w:r>
      <w:r w:rsidRPr="00D47527">
        <w:rPr>
          <w:b/>
        </w:rPr>
        <w:t>2016 calendar year</w:t>
      </w:r>
      <w:r>
        <w:t xml:space="preserve">.  </w:t>
      </w:r>
    </w:p>
    <w:p w:rsidR="00157EC3" w:rsidRDefault="00157EC3" w:rsidP="00157EC3">
      <w:pPr>
        <w:pStyle w:val="ListParagraph"/>
      </w:pPr>
    </w:p>
    <w:p w:rsidR="00157EC3" w:rsidRDefault="00907B5C" w:rsidP="00421D50">
      <w:pPr>
        <w:pStyle w:val="NoSpacing"/>
        <w:numPr>
          <w:ilvl w:val="0"/>
          <w:numId w:val="13"/>
        </w:numPr>
        <w:jc w:val="both"/>
      </w:pPr>
      <w:r>
        <w:t>For your convenience, I</w:t>
      </w:r>
      <w:r w:rsidR="00157EC3">
        <w:t xml:space="preserve"> have included excerpts of the December 16, 2014 memo related to testing census data beneath </w:t>
      </w:r>
      <w:r>
        <w:t xml:space="preserve">our </w:t>
      </w:r>
      <w:r w:rsidR="00157EC3">
        <w:t>contact information.</w:t>
      </w:r>
    </w:p>
    <w:p w:rsidR="00663E5F" w:rsidRDefault="00663E5F" w:rsidP="00663E5F">
      <w:pPr>
        <w:pStyle w:val="ListParagraph"/>
      </w:pPr>
    </w:p>
    <w:p w:rsidR="00907B5C" w:rsidRDefault="00907B5C" w:rsidP="00663E5F">
      <w:pPr>
        <w:pStyle w:val="ListParagraph"/>
      </w:pPr>
    </w:p>
    <w:p w:rsidR="009A7F82" w:rsidRDefault="00C316F2" w:rsidP="009A7F82">
      <w:pPr>
        <w:pStyle w:val="NoSpacing"/>
        <w:jc w:val="both"/>
      </w:pPr>
      <w:r>
        <w:t>I</w:t>
      </w:r>
      <w:r w:rsidR="009A7F82">
        <w:t xml:space="preserve"> have attempted to answer some of your questions in this memo. The best way to contact </w:t>
      </w:r>
      <w:r>
        <w:t>me</w:t>
      </w:r>
      <w:r w:rsidR="009A7F82">
        <w:t xml:space="preserve"> about pension questions is by telephone. Please keep trying if </w:t>
      </w:r>
      <w:r>
        <w:t>I</w:t>
      </w:r>
      <w:r w:rsidR="009A7F82">
        <w:t xml:space="preserve"> a</w:t>
      </w:r>
      <w:r>
        <w:t>m</w:t>
      </w:r>
      <w:r w:rsidR="009A7F82">
        <w:t xml:space="preserve"> not in.  You may also contact Rachelle Cabading if I am not in.  Feel free to contact us by email as well, but realize it takes a long time to communicate about pension questions by email because of the complexity of the subject matter.</w:t>
      </w:r>
    </w:p>
    <w:p w:rsidR="009A7F82" w:rsidRDefault="009A7F82" w:rsidP="009A7F82">
      <w:pPr>
        <w:pStyle w:val="NoSpacing"/>
        <w:ind w:left="360"/>
        <w:jc w:val="both"/>
      </w:pPr>
    </w:p>
    <w:p w:rsidR="009A410E" w:rsidRDefault="0071565D" w:rsidP="009A7F82">
      <w:pPr>
        <w:pStyle w:val="NoSpacing"/>
        <w:jc w:val="both"/>
      </w:pPr>
      <w:r>
        <w:t xml:space="preserve">Thanks to each CPA Firm for your continuing cooperation as we deal with this difficult implementation process.  </w:t>
      </w:r>
      <w:r w:rsidR="001F16D1">
        <w:t>A</w:t>
      </w:r>
      <w:r>
        <w:t xml:space="preserve"> new </w:t>
      </w:r>
      <w:r w:rsidR="001F16D1">
        <w:t xml:space="preserve">implementation </w:t>
      </w:r>
      <w:r>
        <w:t>issue surfaces</w:t>
      </w:r>
      <w:r w:rsidR="001F16D1">
        <w:t xml:space="preserve"> almost daily</w:t>
      </w:r>
      <w:r>
        <w:t xml:space="preserve">.  </w:t>
      </w:r>
      <w:r w:rsidR="00D47527">
        <w:t xml:space="preserve">I apologize for the length of this memo, but given the complexity of the pension standards, I did not believe I had </w:t>
      </w:r>
      <w:r w:rsidR="00C316F2">
        <w:t>any other alternative.</w:t>
      </w:r>
      <w:r w:rsidR="00D47527">
        <w:t xml:space="preserve">  </w:t>
      </w:r>
      <w:r w:rsidR="009A410E">
        <w:t>Our cont</w:t>
      </w:r>
      <w:r w:rsidR="00B03BAA">
        <w:t>act information is as follows:</w:t>
      </w:r>
      <w:r w:rsidR="009A410E">
        <w:t xml:space="preserve">  </w:t>
      </w:r>
    </w:p>
    <w:p w:rsidR="009A410E" w:rsidRDefault="009A410E" w:rsidP="009B5814">
      <w:pPr>
        <w:pStyle w:val="NoSpacing"/>
        <w:jc w:val="both"/>
      </w:pPr>
    </w:p>
    <w:p w:rsidR="00907B5C" w:rsidRDefault="00907B5C" w:rsidP="009B5814">
      <w:pPr>
        <w:pStyle w:val="NoSpacing"/>
        <w:jc w:val="both"/>
      </w:pPr>
    </w:p>
    <w:p w:rsidR="009A410E" w:rsidRDefault="009A410E" w:rsidP="009B5814">
      <w:pPr>
        <w:pStyle w:val="NoSpacing"/>
        <w:jc w:val="both"/>
      </w:pPr>
      <w:r>
        <w:t xml:space="preserve">Jerry E. Durham, CPA, </w:t>
      </w:r>
      <w:proofErr w:type="spellStart"/>
      <w:r>
        <w:t>CGFM</w:t>
      </w:r>
      <w:proofErr w:type="spellEnd"/>
      <w:r>
        <w:t xml:space="preserve">, </w:t>
      </w:r>
      <w:proofErr w:type="spellStart"/>
      <w:r>
        <w:t>CFE</w:t>
      </w:r>
      <w:proofErr w:type="spellEnd"/>
      <w:r>
        <w:tab/>
      </w:r>
      <w:r>
        <w:tab/>
        <w:t>Rachelle Cabading</w:t>
      </w:r>
      <w:r w:rsidR="0036676D">
        <w:t xml:space="preserve">, </w:t>
      </w:r>
      <w:proofErr w:type="spellStart"/>
      <w:r w:rsidR="0036676D">
        <w:t>CFE</w:t>
      </w:r>
      <w:proofErr w:type="spellEnd"/>
    </w:p>
    <w:p w:rsidR="009A410E" w:rsidRDefault="009A410E" w:rsidP="009B5814">
      <w:pPr>
        <w:pStyle w:val="NoSpacing"/>
        <w:jc w:val="both"/>
      </w:pPr>
      <w:r>
        <w:t>Assistant Director</w:t>
      </w:r>
      <w:r>
        <w:tab/>
      </w:r>
      <w:r>
        <w:tab/>
      </w:r>
      <w:r>
        <w:tab/>
      </w:r>
      <w:r>
        <w:tab/>
      </w:r>
      <w:r>
        <w:tab/>
      </w:r>
      <w:r w:rsidR="00BE65BD">
        <w:t xml:space="preserve">Administrative </w:t>
      </w:r>
      <w:r w:rsidR="009A79AF">
        <w:t>Audit Manager</w:t>
      </w:r>
    </w:p>
    <w:p w:rsidR="009A410E" w:rsidRDefault="009A410E" w:rsidP="009B5814">
      <w:pPr>
        <w:pStyle w:val="NoSpacing"/>
        <w:jc w:val="both"/>
      </w:pPr>
      <w:r>
        <w:t>Division of Local Government Audit</w:t>
      </w:r>
      <w:r>
        <w:tab/>
      </w:r>
      <w:r>
        <w:tab/>
        <w:t>Division of Local Government Audit</w:t>
      </w:r>
    </w:p>
    <w:p w:rsidR="009A410E" w:rsidRDefault="0080389F" w:rsidP="009B5814">
      <w:pPr>
        <w:pStyle w:val="NoSpacing"/>
        <w:jc w:val="both"/>
      </w:pPr>
      <w:hyperlink r:id="rId14" w:history="1">
        <w:r w:rsidR="009A410E" w:rsidRPr="00AA3932">
          <w:rPr>
            <w:rStyle w:val="Hyperlink"/>
          </w:rPr>
          <w:t>Jerry.Durham@cot.tn.gov</w:t>
        </w:r>
      </w:hyperlink>
      <w:r w:rsidR="009A410E">
        <w:tab/>
      </w:r>
      <w:r w:rsidR="009A410E">
        <w:tab/>
      </w:r>
      <w:r w:rsidR="009A410E">
        <w:tab/>
      </w:r>
      <w:r w:rsidR="009A410E">
        <w:tab/>
      </w:r>
      <w:hyperlink r:id="rId15" w:history="1">
        <w:r w:rsidR="009A79AF" w:rsidRPr="00AA3932">
          <w:rPr>
            <w:rStyle w:val="Hyperlink"/>
          </w:rPr>
          <w:t>Rachelle.Cabading@cot.tn.gov</w:t>
        </w:r>
      </w:hyperlink>
    </w:p>
    <w:p w:rsidR="00F271BE" w:rsidRDefault="009A410E" w:rsidP="009B5814">
      <w:pPr>
        <w:pStyle w:val="NoSpacing"/>
        <w:jc w:val="both"/>
      </w:pPr>
      <w:r>
        <w:t>Direct Telephone:  615.401.7951</w:t>
      </w:r>
      <w:r w:rsidR="00CA4C70">
        <w:t xml:space="preserve"> </w:t>
      </w:r>
      <w:r>
        <w:tab/>
      </w:r>
      <w:r>
        <w:tab/>
      </w:r>
      <w:r>
        <w:tab/>
        <w:t>Direct Telephone:  615.401.7953</w:t>
      </w:r>
    </w:p>
    <w:p w:rsidR="009A410E" w:rsidRDefault="009A410E" w:rsidP="009B5814">
      <w:pPr>
        <w:pStyle w:val="NoSpacing"/>
        <w:jc w:val="both"/>
      </w:pPr>
    </w:p>
    <w:p w:rsidR="00C857BC" w:rsidRDefault="00C857BC" w:rsidP="009B5814">
      <w:pPr>
        <w:pStyle w:val="NoSpacing"/>
        <w:jc w:val="both"/>
      </w:pPr>
    </w:p>
    <w:p w:rsidR="00D47527" w:rsidRDefault="00D47527" w:rsidP="00FC7274">
      <w:pPr>
        <w:tabs>
          <w:tab w:val="left" w:pos="720"/>
          <w:tab w:val="left" w:pos="1440"/>
          <w:tab w:val="left" w:pos="2160"/>
          <w:tab w:val="left" w:pos="2880"/>
          <w:tab w:val="left" w:pos="3600"/>
          <w:tab w:val="left" w:pos="4320"/>
        </w:tabs>
        <w:jc w:val="both"/>
      </w:pPr>
    </w:p>
    <w:p w:rsidR="00D47527" w:rsidRPr="00907B5C" w:rsidRDefault="00907B5C" w:rsidP="00FC7274">
      <w:pPr>
        <w:tabs>
          <w:tab w:val="left" w:pos="720"/>
          <w:tab w:val="left" w:pos="1440"/>
          <w:tab w:val="left" w:pos="2160"/>
          <w:tab w:val="left" w:pos="2880"/>
          <w:tab w:val="left" w:pos="3600"/>
          <w:tab w:val="left" w:pos="4320"/>
        </w:tabs>
        <w:jc w:val="both"/>
        <w:rPr>
          <w:b/>
          <w:u w:val="single"/>
        </w:rPr>
      </w:pPr>
      <w:r w:rsidRPr="00907B5C">
        <w:rPr>
          <w:b/>
          <w:u w:val="single"/>
        </w:rPr>
        <w:t>From the December 16, 2014 Memo:</w:t>
      </w:r>
    </w:p>
    <w:p w:rsidR="00907B5C" w:rsidRDefault="00907B5C" w:rsidP="00FC7274">
      <w:pPr>
        <w:tabs>
          <w:tab w:val="left" w:pos="720"/>
          <w:tab w:val="left" w:pos="1440"/>
          <w:tab w:val="left" w:pos="2160"/>
          <w:tab w:val="left" w:pos="2880"/>
          <w:tab w:val="left" w:pos="3600"/>
          <w:tab w:val="left" w:pos="4320"/>
        </w:tabs>
        <w:jc w:val="both"/>
      </w:pPr>
    </w:p>
    <w:p w:rsidR="00FC7274" w:rsidRPr="005069EF" w:rsidRDefault="00C857BC" w:rsidP="00FC7274">
      <w:pPr>
        <w:tabs>
          <w:tab w:val="left" w:pos="720"/>
          <w:tab w:val="left" w:pos="1440"/>
          <w:tab w:val="left" w:pos="2160"/>
          <w:tab w:val="left" w:pos="2880"/>
          <w:tab w:val="left" w:pos="3600"/>
          <w:tab w:val="left" w:pos="4320"/>
        </w:tabs>
        <w:jc w:val="both"/>
        <w:rPr>
          <w:b/>
          <w:i/>
          <w:u w:val="single"/>
        </w:rPr>
      </w:pPr>
      <w:r>
        <w:t xml:space="preserve"> </w:t>
      </w:r>
      <w:r w:rsidR="00FC7274" w:rsidRPr="003C3435">
        <w:rPr>
          <w:b/>
          <w:i/>
          <w:highlight w:val="lightGray"/>
          <w:u w:val="single"/>
        </w:rPr>
        <w:t>Audit Plan - Step 3</w:t>
      </w:r>
    </w:p>
    <w:p w:rsidR="00FC7274" w:rsidRDefault="00FC7274" w:rsidP="00FC7274">
      <w:pPr>
        <w:tabs>
          <w:tab w:val="left" w:pos="720"/>
          <w:tab w:val="left" w:pos="1440"/>
          <w:tab w:val="left" w:pos="2160"/>
          <w:tab w:val="left" w:pos="2880"/>
          <w:tab w:val="left" w:pos="3600"/>
          <w:tab w:val="left" w:pos="4320"/>
        </w:tabs>
        <w:jc w:val="both"/>
      </w:pPr>
      <w:r w:rsidRPr="00CA0032">
        <w:rPr>
          <w:i/>
        </w:rPr>
        <w:t>Testing of Census Data</w:t>
      </w:r>
      <w:r>
        <w:t xml:space="preserve"> - The Division of State Audit (State Audit), for purposes of local government employers, will utilize Option 2 in the Whitepaper.  State Audit will perform an Examination Engagement on Census Data Maintained by the Plan.  This Examination Engagement will cover </w:t>
      </w:r>
      <w:proofErr w:type="spellStart"/>
      <w:r>
        <w:t>TCRS</w:t>
      </w:r>
      <w:proofErr w:type="spellEnd"/>
      <w:r>
        <w:t xml:space="preserve"> assertions related to Census Data for </w:t>
      </w:r>
      <w:r w:rsidRPr="00D166ED">
        <w:rPr>
          <w:b/>
        </w:rPr>
        <w:t>Inactive</w:t>
      </w:r>
      <w:r>
        <w:t xml:space="preserve"> and </w:t>
      </w:r>
      <w:r w:rsidRPr="00D166ED">
        <w:rPr>
          <w:b/>
        </w:rPr>
        <w:t>Retired</w:t>
      </w:r>
      <w:r>
        <w:t xml:space="preserve"> </w:t>
      </w:r>
      <w:proofErr w:type="spellStart"/>
      <w:r>
        <w:t>TCRS</w:t>
      </w:r>
      <w:proofErr w:type="spellEnd"/>
      <w:r>
        <w:t xml:space="preserve"> members.  </w:t>
      </w:r>
      <w:r w:rsidRPr="00321143">
        <w:rPr>
          <w:u w:val="single"/>
        </w:rPr>
        <w:t xml:space="preserve">The Examination Engagement will be made available to Contract CPA </w:t>
      </w:r>
      <w:r>
        <w:rPr>
          <w:u w:val="single"/>
        </w:rPr>
        <w:t>f</w:t>
      </w:r>
      <w:r w:rsidRPr="00321143">
        <w:rPr>
          <w:u w:val="single"/>
        </w:rPr>
        <w:t>irms via Local Government Audit’s website.</w:t>
      </w:r>
      <w:r>
        <w:t xml:space="preserve">  This means that CPA firms </w:t>
      </w:r>
      <w:r w:rsidRPr="00954725">
        <w:rPr>
          <w:b/>
        </w:rPr>
        <w:t>will not</w:t>
      </w:r>
      <w:r>
        <w:t xml:space="preserve"> need to test Census Data for </w:t>
      </w:r>
      <w:r w:rsidRPr="00321143">
        <w:rPr>
          <w:b/>
        </w:rPr>
        <w:t>Inactive</w:t>
      </w:r>
      <w:r>
        <w:t xml:space="preserve"> or </w:t>
      </w:r>
      <w:r w:rsidRPr="00321143">
        <w:rPr>
          <w:b/>
        </w:rPr>
        <w:t>Retired</w:t>
      </w:r>
      <w:r>
        <w:t xml:space="preserve"> Employees.</w:t>
      </w:r>
    </w:p>
    <w:p w:rsidR="00FC7274" w:rsidRDefault="00FC7274" w:rsidP="00FC7274">
      <w:pPr>
        <w:tabs>
          <w:tab w:val="left" w:pos="720"/>
          <w:tab w:val="left" w:pos="1440"/>
          <w:tab w:val="left" w:pos="2160"/>
          <w:tab w:val="left" w:pos="2880"/>
          <w:tab w:val="left" w:pos="3600"/>
          <w:tab w:val="left" w:pos="4320"/>
        </w:tabs>
        <w:jc w:val="both"/>
      </w:pPr>
    </w:p>
    <w:p w:rsidR="00FC7274" w:rsidRDefault="00FC7274" w:rsidP="00FC7274">
      <w:pPr>
        <w:tabs>
          <w:tab w:val="left" w:pos="720"/>
          <w:tab w:val="left" w:pos="1440"/>
          <w:tab w:val="left" w:pos="2160"/>
          <w:tab w:val="left" w:pos="2880"/>
          <w:tab w:val="left" w:pos="3600"/>
          <w:tab w:val="left" w:pos="4320"/>
        </w:tabs>
        <w:jc w:val="both"/>
      </w:pPr>
      <w:r>
        <w:t xml:space="preserve">CPA firms who audit local government employers </w:t>
      </w:r>
      <w:r w:rsidRPr="00954725">
        <w:rPr>
          <w:b/>
        </w:rPr>
        <w:t xml:space="preserve">will be </w:t>
      </w:r>
      <w:r>
        <w:t xml:space="preserve">involved in testing census data for </w:t>
      </w:r>
      <w:r w:rsidRPr="001F3241">
        <w:rPr>
          <w:b/>
        </w:rPr>
        <w:t xml:space="preserve">Active </w:t>
      </w:r>
      <w:proofErr w:type="spellStart"/>
      <w:r w:rsidRPr="001F3241">
        <w:t>TCRS</w:t>
      </w:r>
      <w:proofErr w:type="spellEnd"/>
      <w:r>
        <w:rPr>
          <w:b/>
        </w:rPr>
        <w:t xml:space="preserve"> </w:t>
      </w:r>
      <w:r>
        <w:t xml:space="preserve">employees.  This will involve a test for accuracy and a test for completeness.  The Whitepaper mentions tests that auditors “may” perform, but the following tests are considered mandatory by Local Government Audit.  These tests are designed to ensure that the employer’s Census Data, upon which the actuarial reports are based, is reliable for obtaining sufficient appropriate audit evidence about each element of Pension Costs.  </w:t>
      </w:r>
      <w:proofErr w:type="spellStart"/>
      <w:r>
        <w:t>TCRS</w:t>
      </w:r>
      <w:proofErr w:type="spellEnd"/>
      <w:r>
        <w:t xml:space="preserve"> will provide Actuarial Census Data to each local government employer</w:t>
      </w:r>
      <w:r w:rsidR="00E12817">
        <w:t xml:space="preserve">. </w:t>
      </w:r>
      <w:r>
        <w:t xml:space="preserve">  This data should be utilized to select a sample for testing.  CPA firms may also request their client’s to access the </w:t>
      </w:r>
      <w:proofErr w:type="spellStart"/>
      <w:r>
        <w:t>TCRS</w:t>
      </w:r>
      <w:proofErr w:type="spellEnd"/>
      <w:r>
        <w:t xml:space="preserve"> Concord System to obtain the Census Data that </w:t>
      </w:r>
      <w:r>
        <w:lastRenderedPageBreak/>
        <w:t>will be tested for accuracy.  This is possible because State Audit will perform audit procedures to determine that the data agrees with Census Data submitted to the Actuary.  So effectively, by using the actuarial census data provided or the Concord System, we are testing Actuarial Data to the employer’s accounting records.  Th</w:t>
      </w:r>
      <w:r w:rsidR="00E12817">
        <w:t>e census</w:t>
      </w:r>
      <w:r>
        <w:t xml:space="preserve"> data will be tested for the period July 1, 2013 to June 30, 2014.</w:t>
      </w:r>
    </w:p>
    <w:p w:rsidR="00FC7274" w:rsidRDefault="00FC7274" w:rsidP="00FC7274">
      <w:pPr>
        <w:tabs>
          <w:tab w:val="left" w:pos="720"/>
          <w:tab w:val="left" w:pos="1440"/>
          <w:tab w:val="left" w:pos="2160"/>
          <w:tab w:val="left" w:pos="2880"/>
          <w:tab w:val="left" w:pos="3600"/>
          <w:tab w:val="left" w:pos="4320"/>
        </w:tabs>
        <w:jc w:val="both"/>
      </w:pPr>
    </w:p>
    <w:p w:rsidR="00FC7274" w:rsidRPr="00BA4579" w:rsidRDefault="00FC7274" w:rsidP="00FC7274">
      <w:pPr>
        <w:tabs>
          <w:tab w:val="left" w:pos="720"/>
          <w:tab w:val="left" w:pos="1440"/>
          <w:tab w:val="left" w:pos="2160"/>
          <w:tab w:val="left" w:pos="2880"/>
          <w:tab w:val="left" w:pos="3600"/>
          <w:tab w:val="left" w:pos="4320"/>
        </w:tabs>
        <w:jc w:val="both"/>
        <w:rPr>
          <w:i/>
        </w:rPr>
      </w:pPr>
      <w:r w:rsidRPr="00BA4579">
        <w:rPr>
          <w:i/>
        </w:rPr>
        <w:t>Accuracy Test -</w:t>
      </w:r>
    </w:p>
    <w:p w:rsidR="00FC7274" w:rsidRDefault="00FC7274" w:rsidP="00FC7274">
      <w:pPr>
        <w:pStyle w:val="ListParagraph"/>
        <w:numPr>
          <w:ilvl w:val="0"/>
          <w:numId w:val="5"/>
        </w:numPr>
        <w:tabs>
          <w:tab w:val="left" w:pos="720"/>
          <w:tab w:val="left" w:pos="1440"/>
          <w:tab w:val="left" w:pos="2160"/>
          <w:tab w:val="left" w:pos="2880"/>
          <w:tab w:val="left" w:pos="3600"/>
          <w:tab w:val="left" w:pos="4320"/>
        </w:tabs>
        <w:jc w:val="both"/>
      </w:pPr>
      <w:r>
        <w:t xml:space="preserve">Test the accuracy of following data elements for </w:t>
      </w:r>
      <w:r w:rsidRPr="00443952">
        <w:rPr>
          <w:b/>
        </w:rPr>
        <w:t>Active</w:t>
      </w:r>
      <w:r>
        <w:t xml:space="preserve"> Employees:  Name and Social Security Number (or other ID); Date of Birth, Salary reported for the one-year period; Service Credit reported for the one-year period; Retirement Code, Department Code, and whether the member is Male or Female.  We believe these will provide a sufficient amount of audit evidence.</w:t>
      </w:r>
    </w:p>
    <w:p w:rsidR="00FC7274" w:rsidRDefault="00FC7274" w:rsidP="00FC7274">
      <w:pPr>
        <w:pStyle w:val="ListParagraph"/>
        <w:tabs>
          <w:tab w:val="left" w:pos="720"/>
          <w:tab w:val="left" w:pos="1440"/>
          <w:tab w:val="left" w:pos="2160"/>
          <w:tab w:val="left" w:pos="2880"/>
          <w:tab w:val="left" w:pos="3600"/>
          <w:tab w:val="left" w:pos="4320"/>
        </w:tabs>
        <w:jc w:val="both"/>
      </w:pPr>
    </w:p>
    <w:p w:rsidR="00FC7274" w:rsidRDefault="00FC7274" w:rsidP="00FC7274">
      <w:pPr>
        <w:pStyle w:val="ListParagraph"/>
        <w:numPr>
          <w:ilvl w:val="0"/>
          <w:numId w:val="5"/>
        </w:numPr>
        <w:tabs>
          <w:tab w:val="left" w:pos="720"/>
          <w:tab w:val="left" w:pos="1440"/>
          <w:tab w:val="left" w:pos="2160"/>
          <w:tab w:val="left" w:pos="2880"/>
          <w:tab w:val="left" w:pos="3600"/>
          <w:tab w:val="left" w:pos="4320"/>
        </w:tabs>
        <w:jc w:val="both"/>
      </w:pPr>
      <w:r w:rsidRPr="00BA4579">
        <w:t>A sample of employees should be selected</w:t>
      </w:r>
      <w:r>
        <w:t xml:space="preserve"> using a random or systematic approach.</w:t>
      </w:r>
      <w:r w:rsidRPr="00BA4579">
        <w:t xml:space="preserve">  Employees hired after June 30, 2014</w:t>
      </w:r>
      <w:r>
        <w:t>,</w:t>
      </w:r>
      <w:r w:rsidRPr="00BA4579">
        <w:t xml:space="preserve"> should be excluded from the sample.</w:t>
      </w:r>
    </w:p>
    <w:p w:rsidR="00FC7274" w:rsidRDefault="00FC7274" w:rsidP="00FC7274">
      <w:pPr>
        <w:pStyle w:val="ListParagraph"/>
      </w:pPr>
    </w:p>
    <w:p w:rsidR="00FC7274" w:rsidRDefault="00FC7274" w:rsidP="00FC7274">
      <w:pPr>
        <w:pStyle w:val="ListParagraph"/>
        <w:numPr>
          <w:ilvl w:val="0"/>
          <w:numId w:val="5"/>
        </w:numPr>
        <w:tabs>
          <w:tab w:val="left" w:pos="720"/>
          <w:tab w:val="left" w:pos="1440"/>
          <w:tab w:val="left" w:pos="2160"/>
          <w:tab w:val="left" w:pos="2880"/>
          <w:tab w:val="left" w:pos="3600"/>
          <w:tab w:val="left" w:pos="4320"/>
        </w:tabs>
        <w:jc w:val="both"/>
      </w:pPr>
      <w:r>
        <w:t>Government Employers should be asked to locate and provide physical audit evidence to support the data reported for each employee selected for testing.</w:t>
      </w:r>
    </w:p>
    <w:p w:rsidR="00FC7274" w:rsidRDefault="00FC7274" w:rsidP="00FC7274">
      <w:pPr>
        <w:pStyle w:val="ListParagraph"/>
      </w:pPr>
    </w:p>
    <w:p w:rsidR="00FC7274" w:rsidRDefault="00FC7274" w:rsidP="00FC7274">
      <w:pPr>
        <w:pStyle w:val="ListParagraph"/>
        <w:numPr>
          <w:ilvl w:val="0"/>
          <w:numId w:val="5"/>
        </w:numPr>
        <w:tabs>
          <w:tab w:val="left" w:pos="720"/>
          <w:tab w:val="left" w:pos="1440"/>
          <w:tab w:val="left" w:pos="2160"/>
          <w:tab w:val="left" w:pos="2880"/>
          <w:tab w:val="left" w:pos="3600"/>
          <w:tab w:val="left" w:pos="4320"/>
        </w:tabs>
        <w:jc w:val="both"/>
      </w:pPr>
      <w:r>
        <w:t>The sample should be selected in accordance with the AICPA’s March 2014 edition of the Audit Sampling Guide.  In other words, this is a true sample not a test performed using auditor judgment.</w:t>
      </w:r>
    </w:p>
    <w:p w:rsidR="00FC7274" w:rsidRDefault="00FC7274" w:rsidP="00FC7274">
      <w:pPr>
        <w:pStyle w:val="ListParagraph"/>
      </w:pPr>
    </w:p>
    <w:p w:rsidR="00FC7274" w:rsidRDefault="00FC7274" w:rsidP="00FC7274">
      <w:pPr>
        <w:pStyle w:val="ListParagraph"/>
        <w:numPr>
          <w:ilvl w:val="0"/>
          <w:numId w:val="5"/>
        </w:numPr>
        <w:tabs>
          <w:tab w:val="left" w:pos="720"/>
          <w:tab w:val="left" w:pos="1440"/>
          <w:tab w:val="left" w:pos="2160"/>
          <w:tab w:val="left" w:pos="2880"/>
          <w:tab w:val="left" w:pos="3600"/>
          <w:tab w:val="left" w:pos="4320"/>
        </w:tabs>
        <w:jc w:val="both"/>
      </w:pPr>
      <w:r>
        <w:t xml:space="preserve">The purpose, scope, source, and conclusion of the sample should be included in the audit documentation.  The reason for all discrepancies should be documented if possible.  If the </w:t>
      </w:r>
      <w:r w:rsidRPr="00907B5C">
        <w:rPr>
          <w:b/>
        </w:rPr>
        <w:t>overall</w:t>
      </w:r>
      <w:r>
        <w:t xml:space="preserve"> test reveals that the Census Data is not accurate, CPA firms should notify Local Government Audit, write a detailed finding, and determine whether or not an Unmodified Opinion can be issued.</w:t>
      </w:r>
    </w:p>
    <w:p w:rsidR="00FC7274" w:rsidRDefault="00FC7274" w:rsidP="00FC7274">
      <w:pPr>
        <w:tabs>
          <w:tab w:val="left" w:pos="720"/>
          <w:tab w:val="left" w:pos="1440"/>
          <w:tab w:val="left" w:pos="2160"/>
          <w:tab w:val="left" w:pos="2880"/>
          <w:tab w:val="left" w:pos="3600"/>
          <w:tab w:val="left" w:pos="4320"/>
        </w:tabs>
        <w:jc w:val="both"/>
        <w:rPr>
          <w:i/>
        </w:rPr>
      </w:pPr>
    </w:p>
    <w:p w:rsidR="00FC7274" w:rsidRPr="00907B5C" w:rsidRDefault="00FC7274" w:rsidP="00FC7274">
      <w:pPr>
        <w:tabs>
          <w:tab w:val="left" w:pos="720"/>
          <w:tab w:val="left" w:pos="1440"/>
          <w:tab w:val="left" w:pos="2160"/>
          <w:tab w:val="left" w:pos="2880"/>
          <w:tab w:val="left" w:pos="3600"/>
          <w:tab w:val="left" w:pos="4320"/>
        </w:tabs>
        <w:jc w:val="both"/>
      </w:pPr>
      <w:r w:rsidRPr="00BA4579">
        <w:rPr>
          <w:i/>
        </w:rPr>
        <w:t>Completeness Test –</w:t>
      </w:r>
    </w:p>
    <w:p w:rsidR="00FC7274" w:rsidRDefault="00FC7274" w:rsidP="00FC7274">
      <w:pPr>
        <w:pStyle w:val="ListParagraph"/>
        <w:numPr>
          <w:ilvl w:val="0"/>
          <w:numId w:val="6"/>
        </w:numPr>
        <w:tabs>
          <w:tab w:val="left" w:pos="720"/>
          <w:tab w:val="left" w:pos="1440"/>
          <w:tab w:val="left" w:pos="2160"/>
          <w:tab w:val="left" w:pos="2880"/>
          <w:tab w:val="left" w:pos="3600"/>
          <w:tab w:val="left" w:pos="4320"/>
        </w:tabs>
        <w:jc w:val="both"/>
      </w:pPr>
      <w:r>
        <w:t xml:space="preserve">Another sample should be selected directly from the employer’s payroll records.  Each employee selected should be tested back to the Actuarial Census Data provided </w:t>
      </w:r>
      <w:r w:rsidR="00907B5C">
        <w:t xml:space="preserve">by </w:t>
      </w:r>
      <w:proofErr w:type="spellStart"/>
      <w:r w:rsidR="00907B5C">
        <w:t>TCRS</w:t>
      </w:r>
      <w:proofErr w:type="spellEnd"/>
      <w:r>
        <w:t xml:space="preserve"> or to the </w:t>
      </w:r>
      <w:proofErr w:type="spellStart"/>
      <w:r>
        <w:t>TCRS</w:t>
      </w:r>
      <w:proofErr w:type="spellEnd"/>
      <w:r>
        <w:t xml:space="preserve"> Concord System through access provided by the employer.  If any employee does not show up, the CPA firm should determine the reason (e.g. part-time, not eligible for </w:t>
      </w:r>
      <w:proofErr w:type="spellStart"/>
      <w:r>
        <w:t>TCRS</w:t>
      </w:r>
      <w:proofErr w:type="spellEnd"/>
      <w:r>
        <w:t>).</w:t>
      </w:r>
    </w:p>
    <w:p w:rsidR="00FC7274" w:rsidRDefault="00FC7274" w:rsidP="00FC7274">
      <w:pPr>
        <w:pStyle w:val="ListParagraph"/>
        <w:tabs>
          <w:tab w:val="left" w:pos="720"/>
          <w:tab w:val="left" w:pos="1440"/>
          <w:tab w:val="left" w:pos="2160"/>
          <w:tab w:val="left" w:pos="2880"/>
          <w:tab w:val="left" w:pos="3600"/>
          <w:tab w:val="left" w:pos="4320"/>
        </w:tabs>
        <w:jc w:val="both"/>
      </w:pPr>
    </w:p>
    <w:p w:rsidR="00FC7274" w:rsidRDefault="00FC7274" w:rsidP="00FC7274">
      <w:pPr>
        <w:pStyle w:val="ListParagraph"/>
        <w:numPr>
          <w:ilvl w:val="0"/>
          <w:numId w:val="6"/>
        </w:numPr>
        <w:tabs>
          <w:tab w:val="left" w:pos="720"/>
          <w:tab w:val="left" w:pos="1440"/>
          <w:tab w:val="left" w:pos="2160"/>
          <w:tab w:val="left" w:pos="2880"/>
          <w:tab w:val="left" w:pos="3600"/>
          <w:tab w:val="left" w:pos="4320"/>
        </w:tabs>
        <w:jc w:val="both"/>
      </w:pPr>
      <w:r>
        <w:t>The purpose, scope, source, and conclusion of the sample should be included in the audit documentation.</w:t>
      </w:r>
      <w:r w:rsidRPr="00BA4579">
        <w:t xml:space="preserve"> </w:t>
      </w:r>
      <w:r>
        <w:t xml:space="preserve">If the </w:t>
      </w:r>
      <w:r w:rsidRPr="00907B5C">
        <w:rPr>
          <w:b/>
        </w:rPr>
        <w:t xml:space="preserve">overall </w:t>
      </w:r>
      <w:r>
        <w:t xml:space="preserve">test reveals that the Actuarial Census Data or the </w:t>
      </w:r>
      <w:proofErr w:type="spellStart"/>
      <w:r>
        <w:t>TCRS</w:t>
      </w:r>
      <w:proofErr w:type="spellEnd"/>
      <w:r>
        <w:t xml:space="preserve"> Concord System does not include all eligible employees, CPA Firms should notify Local Government Audit, write a detailed finding, and determine whether or not an Unmodified Opinion can be issued.</w:t>
      </w:r>
    </w:p>
    <w:p w:rsidR="00FC7274" w:rsidRDefault="00FC7274" w:rsidP="00FC7274">
      <w:pPr>
        <w:pStyle w:val="ListParagraph"/>
        <w:tabs>
          <w:tab w:val="left" w:pos="720"/>
          <w:tab w:val="left" w:pos="1440"/>
          <w:tab w:val="left" w:pos="2160"/>
          <w:tab w:val="left" w:pos="2880"/>
          <w:tab w:val="left" w:pos="3600"/>
          <w:tab w:val="left" w:pos="4320"/>
        </w:tabs>
        <w:jc w:val="both"/>
      </w:pPr>
    </w:p>
    <w:p w:rsidR="00C857BC" w:rsidRDefault="00C857BC" w:rsidP="009B5814">
      <w:pPr>
        <w:pStyle w:val="NoSpacing"/>
        <w:jc w:val="both"/>
      </w:pPr>
    </w:p>
    <w:p w:rsidR="00C857BC" w:rsidRDefault="00C857BC" w:rsidP="009B5814">
      <w:pPr>
        <w:pStyle w:val="NoSpacing"/>
        <w:jc w:val="both"/>
      </w:pPr>
    </w:p>
    <w:p w:rsidR="00C857BC" w:rsidRDefault="00C857BC" w:rsidP="009B5814">
      <w:pPr>
        <w:pStyle w:val="NoSpacing"/>
        <w:jc w:val="both"/>
      </w:pPr>
    </w:p>
    <w:p w:rsidR="00C857BC" w:rsidRDefault="00C857BC" w:rsidP="009B5814">
      <w:pPr>
        <w:pStyle w:val="NoSpacing"/>
        <w:jc w:val="both"/>
      </w:pPr>
    </w:p>
    <w:p w:rsidR="00C857BC" w:rsidRDefault="00C857BC" w:rsidP="009B5814">
      <w:pPr>
        <w:pStyle w:val="NoSpacing"/>
        <w:jc w:val="both"/>
      </w:pPr>
    </w:p>
    <w:p w:rsidR="00483C9D" w:rsidRDefault="00483C9D" w:rsidP="009B5814">
      <w:pPr>
        <w:tabs>
          <w:tab w:val="left" w:pos="90"/>
          <w:tab w:val="left" w:pos="720"/>
          <w:tab w:val="left" w:pos="2160"/>
          <w:tab w:val="left" w:pos="2880"/>
          <w:tab w:val="left" w:pos="3600"/>
          <w:tab w:val="left" w:pos="4320"/>
        </w:tabs>
        <w:jc w:val="both"/>
      </w:pPr>
    </w:p>
    <w:p w:rsidR="00483C9D" w:rsidRDefault="00483C9D" w:rsidP="009B5814">
      <w:pPr>
        <w:tabs>
          <w:tab w:val="left" w:pos="90"/>
          <w:tab w:val="left" w:pos="720"/>
          <w:tab w:val="left" w:pos="2160"/>
          <w:tab w:val="left" w:pos="2880"/>
          <w:tab w:val="left" w:pos="3600"/>
          <w:tab w:val="left" w:pos="4320"/>
        </w:tabs>
        <w:jc w:val="both"/>
      </w:pPr>
    </w:p>
    <w:sectPr w:rsidR="00483C9D" w:rsidSect="009230EE">
      <w:headerReference w:type="default" r:id="rId16"/>
      <w:headerReference w:type="first" r:id="rId17"/>
      <w:type w:val="continuous"/>
      <w:pgSz w:w="12240" w:h="15840" w:code="1"/>
      <w:pgMar w:top="547" w:right="1440" w:bottom="720" w:left="1440" w:header="432" w:footer="706" w:gutter="0"/>
      <w:pgNumType w:start="1" w:chapStyle="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9F" w:rsidRDefault="0080389F">
      <w:r>
        <w:separator/>
      </w:r>
    </w:p>
  </w:endnote>
  <w:endnote w:type="continuationSeparator" w:id="0">
    <w:p w:rsidR="0080389F" w:rsidRDefault="0080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222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9F" w:rsidRDefault="0080389F">
      <w:r>
        <w:separator/>
      </w:r>
    </w:p>
  </w:footnote>
  <w:footnote w:type="continuationSeparator" w:id="0">
    <w:p w:rsidR="0080389F" w:rsidRDefault="0080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EE" w:rsidRDefault="009230EE">
    <w:pPr>
      <w:pStyle w:val="Header"/>
    </w:pPr>
    <w:r>
      <w:t>Memo</w:t>
    </w:r>
  </w:p>
  <w:p w:rsidR="009230EE" w:rsidRDefault="009230EE">
    <w:pPr>
      <w:pStyle w:val="Header"/>
    </w:pPr>
    <w:r>
      <w:t>September 22, 2016</w:t>
    </w:r>
  </w:p>
  <w:p w:rsidR="009230EE" w:rsidRDefault="009230EE">
    <w:pPr>
      <w:pStyle w:val="Header"/>
    </w:pPr>
    <w:r>
      <w:t xml:space="preserve">Page </w:t>
    </w:r>
    <w:r>
      <w:fldChar w:fldCharType="begin"/>
    </w:r>
    <w:r>
      <w:instrText xml:space="preserve"> PAGE   \* MERGEFORMAT </w:instrText>
    </w:r>
    <w:r>
      <w:fldChar w:fldCharType="separate"/>
    </w:r>
    <w:r w:rsidR="00183CCA">
      <w:rPr>
        <w:noProof/>
      </w:rPr>
      <w:t>2</w:t>
    </w:r>
    <w:r>
      <w:rPr>
        <w:noProof/>
      </w:rPr>
      <w:fldChar w:fldCharType="end"/>
    </w:r>
    <w:r>
      <w:rPr>
        <w:noProof/>
      </w:rPr>
      <w:t xml:space="preserve"> of 9</w:t>
    </w:r>
  </w:p>
  <w:p w:rsidR="009230EE" w:rsidRDefault="009230EE">
    <w:pPr>
      <w:pStyle w:val="Header"/>
    </w:pPr>
  </w:p>
  <w:p w:rsidR="009230EE" w:rsidRDefault="00923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E51" w:rsidRDefault="00F44E51" w:rsidP="00F44E51">
    <w:pPr>
      <w:jc w:val="center"/>
      <w:rPr>
        <w:b/>
        <w:sz w:val="28"/>
      </w:rPr>
    </w:pPr>
    <w:r w:rsidRPr="008040D8">
      <w:rPr>
        <w:b/>
        <w:sz w:val="28"/>
      </w:rPr>
      <w:object w:dxaOrig="1397" w:dyaOrig="1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65.1pt" o:ole="">
          <v:imagedata r:id="rId1" o:title=""/>
        </v:shape>
        <o:OLEObject Type="Embed" ProgID="Word.Picture.8" ShapeID="_x0000_i1025" DrawAspect="Content" ObjectID="_1536139996" r:id="rId2"/>
      </w:object>
    </w:r>
  </w:p>
  <w:p w:rsidR="00F44E51" w:rsidRDefault="00F44E51" w:rsidP="00F44E51">
    <w:pPr>
      <w:jc w:val="center"/>
      <w:rPr>
        <w:b/>
        <w:sz w:val="8"/>
      </w:rPr>
    </w:pPr>
  </w:p>
  <w:p w:rsidR="00F44E51" w:rsidRDefault="00F44E51" w:rsidP="00F44E51">
    <w:pPr>
      <w:pStyle w:val="Heading1i"/>
    </w:pPr>
    <w:r>
      <w:t>STATE OF TENNESSEE</w:t>
    </w:r>
  </w:p>
  <w:p w:rsidR="00F44E51" w:rsidRDefault="00F44E51" w:rsidP="00F44E51">
    <w:pPr>
      <w:pStyle w:val="Header2i"/>
    </w:pPr>
    <w:r>
      <w:t>COMPTROLLER OF THE TREASURY</w:t>
    </w:r>
  </w:p>
  <w:p w:rsidR="00F44E51" w:rsidRPr="00EE75B9" w:rsidRDefault="00F44E51" w:rsidP="00F44E51">
    <w:pPr>
      <w:pStyle w:val="Heading1i"/>
    </w:pPr>
    <w:r w:rsidRPr="00EE75B9">
      <w:t>DEPARTMENT OF AUDIT</w:t>
    </w:r>
  </w:p>
  <w:p w:rsidR="00F44E51" w:rsidRPr="00EE75B9" w:rsidRDefault="00F44E51" w:rsidP="00F44E51">
    <w:pPr>
      <w:pStyle w:val="Heading1i"/>
    </w:pPr>
    <w:r w:rsidRPr="00EE75B9">
      <w:t xml:space="preserve">DIVISION OF </w:t>
    </w:r>
    <w:r>
      <w:t>LOCAL GOVERNMENT</w:t>
    </w:r>
    <w:r w:rsidRPr="00EE75B9">
      <w:t xml:space="preserve"> AUDIT</w:t>
    </w:r>
  </w:p>
  <w:p w:rsidR="00F44E51" w:rsidRDefault="00F44E51" w:rsidP="00F44E51">
    <w:pPr>
      <w:pStyle w:val="Header3i"/>
      <w:tabs>
        <w:tab w:val="left" w:pos="3960"/>
      </w:tabs>
      <w:jc w:val="center"/>
    </w:pPr>
    <w:r>
      <w:t>SUITE 1500</w:t>
    </w:r>
  </w:p>
  <w:p w:rsidR="00F44E51" w:rsidRDefault="00F44E51" w:rsidP="00F44E51">
    <w:pPr>
      <w:pStyle w:val="Header3ai"/>
      <w:tabs>
        <w:tab w:val="left" w:pos="3780"/>
      </w:tabs>
      <w:jc w:val="center"/>
    </w:pPr>
    <w:r>
      <w:t>JAMES K. POLK STATE OFFICE BUILDING</w:t>
    </w:r>
  </w:p>
  <w:p w:rsidR="00F44E51" w:rsidRDefault="00F44E51" w:rsidP="00F44E51">
    <w:pPr>
      <w:pStyle w:val="Heading4i"/>
    </w:pPr>
    <w:r>
      <w:t>NASHVILLE, TENNESSEE  37243-1402</w:t>
    </w:r>
  </w:p>
  <w:p w:rsidR="00F44E51" w:rsidRDefault="00F44E51" w:rsidP="00F44E51">
    <w:pPr>
      <w:pStyle w:val="Heading4i"/>
    </w:pPr>
    <w:r>
      <w:t>PHONE (615) 401-7841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2D4"/>
    <w:multiLevelType w:val="hybridMultilevel"/>
    <w:tmpl w:val="060674EA"/>
    <w:lvl w:ilvl="0" w:tplc="BB287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E31CBD"/>
    <w:multiLevelType w:val="hybridMultilevel"/>
    <w:tmpl w:val="752CA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57589"/>
    <w:multiLevelType w:val="hybridMultilevel"/>
    <w:tmpl w:val="B2DA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26B4D"/>
    <w:multiLevelType w:val="hybridMultilevel"/>
    <w:tmpl w:val="E23CD456"/>
    <w:lvl w:ilvl="0" w:tplc="4F46C158">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CB034C"/>
    <w:multiLevelType w:val="hybridMultilevel"/>
    <w:tmpl w:val="5BF679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958B5"/>
    <w:multiLevelType w:val="hybridMultilevel"/>
    <w:tmpl w:val="C90EAE62"/>
    <w:lvl w:ilvl="0" w:tplc="85E8BA70">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B0B32"/>
    <w:multiLevelType w:val="hybridMultilevel"/>
    <w:tmpl w:val="4CCA7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E5A14"/>
    <w:multiLevelType w:val="hybridMultilevel"/>
    <w:tmpl w:val="0854D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EE13B9"/>
    <w:multiLevelType w:val="hybridMultilevel"/>
    <w:tmpl w:val="207A59C6"/>
    <w:lvl w:ilvl="0" w:tplc="61E86AFE">
      <w:start w:val="1"/>
      <w:numFmt w:val="decimal"/>
      <w:lvlText w:val="%1."/>
      <w:lvlJc w:val="left"/>
      <w:pPr>
        <w:ind w:left="360" w:hanging="360"/>
      </w:pPr>
      <w:rPr>
        <w:b w:val="0"/>
        <w:color w:val="auto"/>
      </w:rPr>
    </w:lvl>
    <w:lvl w:ilvl="1" w:tplc="280258E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FC6AFF"/>
    <w:multiLevelType w:val="hybridMultilevel"/>
    <w:tmpl w:val="E06AE4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D2B5F"/>
    <w:multiLevelType w:val="hybridMultilevel"/>
    <w:tmpl w:val="38CA00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1200A"/>
    <w:multiLevelType w:val="hybridMultilevel"/>
    <w:tmpl w:val="D230F2EE"/>
    <w:lvl w:ilvl="0" w:tplc="280258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90089"/>
    <w:multiLevelType w:val="hybridMultilevel"/>
    <w:tmpl w:val="54222482"/>
    <w:lvl w:ilvl="0" w:tplc="680633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F1118F"/>
    <w:multiLevelType w:val="hybridMultilevel"/>
    <w:tmpl w:val="9D6A6C2C"/>
    <w:lvl w:ilvl="0" w:tplc="AB06825C">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E7A00"/>
    <w:multiLevelType w:val="hybridMultilevel"/>
    <w:tmpl w:val="5646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D42E2"/>
    <w:multiLevelType w:val="hybridMultilevel"/>
    <w:tmpl w:val="E23CD456"/>
    <w:lvl w:ilvl="0" w:tplc="4F46C158">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CE5331"/>
    <w:multiLevelType w:val="hybridMultilevel"/>
    <w:tmpl w:val="9432B500"/>
    <w:lvl w:ilvl="0" w:tplc="61E86AFE">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112EB"/>
    <w:multiLevelType w:val="hybridMultilevel"/>
    <w:tmpl w:val="E06AE4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16587"/>
    <w:multiLevelType w:val="hybridMultilevel"/>
    <w:tmpl w:val="77045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A354F0"/>
    <w:multiLevelType w:val="hybridMultilevel"/>
    <w:tmpl w:val="9D1CE6D0"/>
    <w:lvl w:ilvl="0" w:tplc="1D6291F2">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894937"/>
    <w:multiLevelType w:val="hybridMultilevel"/>
    <w:tmpl w:val="94AE7A52"/>
    <w:lvl w:ilvl="0" w:tplc="31FAC7AE">
      <w:start w:val="1"/>
      <w:numFmt w:val="decimal"/>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33E59ED"/>
    <w:multiLevelType w:val="hybridMultilevel"/>
    <w:tmpl w:val="D18ED5DA"/>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491041"/>
    <w:multiLevelType w:val="hybridMultilevel"/>
    <w:tmpl w:val="75560626"/>
    <w:lvl w:ilvl="0" w:tplc="D77EABF6">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125679"/>
    <w:multiLevelType w:val="hybridMultilevel"/>
    <w:tmpl w:val="68DE75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F72CAA"/>
    <w:multiLevelType w:val="hybridMultilevel"/>
    <w:tmpl w:val="645487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0"/>
  </w:num>
  <w:num w:numId="3">
    <w:abstractNumId w:val="14"/>
  </w:num>
  <w:num w:numId="4">
    <w:abstractNumId w:val="5"/>
  </w:num>
  <w:num w:numId="5">
    <w:abstractNumId w:val="10"/>
  </w:num>
  <w:num w:numId="6">
    <w:abstractNumId w:val="6"/>
  </w:num>
  <w:num w:numId="7">
    <w:abstractNumId w:val="18"/>
  </w:num>
  <w:num w:numId="8">
    <w:abstractNumId w:val="21"/>
  </w:num>
  <w:num w:numId="9">
    <w:abstractNumId w:val="4"/>
  </w:num>
  <w:num w:numId="10">
    <w:abstractNumId w:val="23"/>
  </w:num>
  <w:num w:numId="11">
    <w:abstractNumId w:val="17"/>
  </w:num>
  <w:num w:numId="12">
    <w:abstractNumId w:val="9"/>
  </w:num>
  <w:num w:numId="13">
    <w:abstractNumId w:val="22"/>
  </w:num>
  <w:num w:numId="14">
    <w:abstractNumId w:val="2"/>
  </w:num>
  <w:num w:numId="15">
    <w:abstractNumId w:val="1"/>
  </w:num>
  <w:num w:numId="16">
    <w:abstractNumId w:val="24"/>
  </w:num>
  <w:num w:numId="17">
    <w:abstractNumId w:val="7"/>
  </w:num>
  <w:num w:numId="18">
    <w:abstractNumId w:val="16"/>
  </w:num>
  <w:num w:numId="19">
    <w:abstractNumId w:val="8"/>
  </w:num>
  <w:num w:numId="20">
    <w:abstractNumId w:val="3"/>
  </w:num>
  <w:num w:numId="21">
    <w:abstractNumId w:val="15"/>
  </w:num>
  <w:num w:numId="22">
    <w:abstractNumId w:val="12"/>
  </w:num>
  <w:num w:numId="23">
    <w:abstractNumId w:val="13"/>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F0"/>
    <w:rsid w:val="00000F5F"/>
    <w:rsid w:val="00003D4D"/>
    <w:rsid w:val="00013154"/>
    <w:rsid w:val="00020FBD"/>
    <w:rsid w:val="0002161D"/>
    <w:rsid w:val="00022C73"/>
    <w:rsid w:val="0002571D"/>
    <w:rsid w:val="00027790"/>
    <w:rsid w:val="000279CF"/>
    <w:rsid w:val="00031803"/>
    <w:rsid w:val="0003339C"/>
    <w:rsid w:val="0003576A"/>
    <w:rsid w:val="0003630A"/>
    <w:rsid w:val="000449F9"/>
    <w:rsid w:val="00050488"/>
    <w:rsid w:val="000505CE"/>
    <w:rsid w:val="00051483"/>
    <w:rsid w:val="0005590C"/>
    <w:rsid w:val="0005780B"/>
    <w:rsid w:val="00060425"/>
    <w:rsid w:val="00061696"/>
    <w:rsid w:val="0006425F"/>
    <w:rsid w:val="00064F9A"/>
    <w:rsid w:val="0006567D"/>
    <w:rsid w:val="00065904"/>
    <w:rsid w:val="00066EB2"/>
    <w:rsid w:val="00070757"/>
    <w:rsid w:val="00075E59"/>
    <w:rsid w:val="0008454B"/>
    <w:rsid w:val="00087084"/>
    <w:rsid w:val="00091A9D"/>
    <w:rsid w:val="00094E97"/>
    <w:rsid w:val="00096B5C"/>
    <w:rsid w:val="000A4C6D"/>
    <w:rsid w:val="000A4F90"/>
    <w:rsid w:val="000A7149"/>
    <w:rsid w:val="000B0AAC"/>
    <w:rsid w:val="000B10A0"/>
    <w:rsid w:val="000B2E4F"/>
    <w:rsid w:val="000B4193"/>
    <w:rsid w:val="000B5A4B"/>
    <w:rsid w:val="000C1A89"/>
    <w:rsid w:val="000C4D8A"/>
    <w:rsid w:val="000C7EFF"/>
    <w:rsid w:val="000D1E6E"/>
    <w:rsid w:val="000D1E7D"/>
    <w:rsid w:val="000D5EC8"/>
    <w:rsid w:val="000E5DDB"/>
    <w:rsid w:val="000F269C"/>
    <w:rsid w:val="000F624F"/>
    <w:rsid w:val="000F7E56"/>
    <w:rsid w:val="001028A5"/>
    <w:rsid w:val="001057E5"/>
    <w:rsid w:val="00107F3E"/>
    <w:rsid w:val="00110444"/>
    <w:rsid w:val="00112FD4"/>
    <w:rsid w:val="001139FE"/>
    <w:rsid w:val="00120CB7"/>
    <w:rsid w:val="001217C9"/>
    <w:rsid w:val="001231C9"/>
    <w:rsid w:val="00131497"/>
    <w:rsid w:val="00144A95"/>
    <w:rsid w:val="001478AD"/>
    <w:rsid w:val="00147A5A"/>
    <w:rsid w:val="00157EC3"/>
    <w:rsid w:val="00160F0F"/>
    <w:rsid w:val="00162F06"/>
    <w:rsid w:val="00164BAD"/>
    <w:rsid w:val="00167903"/>
    <w:rsid w:val="00167A3F"/>
    <w:rsid w:val="00171D9F"/>
    <w:rsid w:val="00176FA1"/>
    <w:rsid w:val="0018020A"/>
    <w:rsid w:val="00183CCA"/>
    <w:rsid w:val="0018696C"/>
    <w:rsid w:val="00186A88"/>
    <w:rsid w:val="00187366"/>
    <w:rsid w:val="0019130C"/>
    <w:rsid w:val="00197E04"/>
    <w:rsid w:val="001B061A"/>
    <w:rsid w:val="001B167B"/>
    <w:rsid w:val="001B1BC7"/>
    <w:rsid w:val="001B2E66"/>
    <w:rsid w:val="001B497E"/>
    <w:rsid w:val="001B60C7"/>
    <w:rsid w:val="001B798F"/>
    <w:rsid w:val="001C401E"/>
    <w:rsid w:val="001C4F16"/>
    <w:rsid w:val="001C51E3"/>
    <w:rsid w:val="001C55DD"/>
    <w:rsid w:val="001C5D77"/>
    <w:rsid w:val="001D2AA8"/>
    <w:rsid w:val="001D32FA"/>
    <w:rsid w:val="001D5597"/>
    <w:rsid w:val="001E0C93"/>
    <w:rsid w:val="001E3A9B"/>
    <w:rsid w:val="001F16D1"/>
    <w:rsid w:val="001F205F"/>
    <w:rsid w:val="001F2F8D"/>
    <w:rsid w:val="001F30EB"/>
    <w:rsid w:val="001F3241"/>
    <w:rsid w:val="00202F78"/>
    <w:rsid w:val="00206A9F"/>
    <w:rsid w:val="002109B7"/>
    <w:rsid w:val="00215E5F"/>
    <w:rsid w:val="00216CE9"/>
    <w:rsid w:val="00217CA2"/>
    <w:rsid w:val="00220D50"/>
    <w:rsid w:val="002301B5"/>
    <w:rsid w:val="00230853"/>
    <w:rsid w:val="002321FE"/>
    <w:rsid w:val="0024308B"/>
    <w:rsid w:val="00243131"/>
    <w:rsid w:val="00245AEF"/>
    <w:rsid w:val="0024640C"/>
    <w:rsid w:val="002557C6"/>
    <w:rsid w:val="00260E36"/>
    <w:rsid w:val="00267FCD"/>
    <w:rsid w:val="00271006"/>
    <w:rsid w:val="002735C1"/>
    <w:rsid w:val="002761AA"/>
    <w:rsid w:val="00286830"/>
    <w:rsid w:val="00291A6C"/>
    <w:rsid w:val="0029539A"/>
    <w:rsid w:val="00295539"/>
    <w:rsid w:val="002A230A"/>
    <w:rsid w:val="002A46C7"/>
    <w:rsid w:val="002A6D83"/>
    <w:rsid w:val="002B3616"/>
    <w:rsid w:val="002B3D72"/>
    <w:rsid w:val="002B5BBE"/>
    <w:rsid w:val="002C0203"/>
    <w:rsid w:val="002C0DA1"/>
    <w:rsid w:val="002D2CDF"/>
    <w:rsid w:val="002D7B58"/>
    <w:rsid w:val="002E13C5"/>
    <w:rsid w:val="002E1633"/>
    <w:rsid w:val="002F123B"/>
    <w:rsid w:val="002F2DEA"/>
    <w:rsid w:val="002F464D"/>
    <w:rsid w:val="00302847"/>
    <w:rsid w:val="00310CF3"/>
    <w:rsid w:val="003132B5"/>
    <w:rsid w:val="00321143"/>
    <w:rsid w:val="00325B74"/>
    <w:rsid w:val="00327C07"/>
    <w:rsid w:val="00330AF0"/>
    <w:rsid w:val="003439AC"/>
    <w:rsid w:val="00346A8E"/>
    <w:rsid w:val="0034759A"/>
    <w:rsid w:val="003618A9"/>
    <w:rsid w:val="00363471"/>
    <w:rsid w:val="00364562"/>
    <w:rsid w:val="0036676D"/>
    <w:rsid w:val="00372670"/>
    <w:rsid w:val="003752B9"/>
    <w:rsid w:val="00376E7E"/>
    <w:rsid w:val="003861AA"/>
    <w:rsid w:val="00395A53"/>
    <w:rsid w:val="003A5A1B"/>
    <w:rsid w:val="003B29D8"/>
    <w:rsid w:val="003B4073"/>
    <w:rsid w:val="003B5751"/>
    <w:rsid w:val="003B70FD"/>
    <w:rsid w:val="003C0887"/>
    <w:rsid w:val="003C3435"/>
    <w:rsid w:val="003C4BB2"/>
    <w:rsid w:val="003C57F4"/>
    <w:rsid w:val="003C6A77"/>
    <w:rsid w:val="003C6F91"/>
    <w:rsid w:val="003D36CD"/>
    <w:rsid w:val="003F341D"/>
    <w:rsid w:val="003F610C"/>
    <w:rsid w:val="003F6FCA"/>
    <w:rsid w:val="003F7628"/>
    <w:rsid w:val="003F7A31"/>
    <w:rsid w:val="00404873"/>
    <w:rsid w:val="00417687"/>
    <w:rsid w:val="00417C85"/>
    <w:rsid w:val="00417EB2"/>
    <w:rsid w:val="00421D50"/>
    <w:rsid w:val="00421E0A"/>
    <w:rsid w:val="00427537"/>
    <w:rsid w:val="00427921"/>
    <w:rsid w:val="00437DBC"/>
    <w:rsid w:val="00440F69"/>
    <w:rsid w:val="00443952"/>
    <w:rsid w:val="00446EE3"/>
    <w:rsid w:val="0044766D"/>
    <w:rsid w:val="00450FD0"/>
    <w:rsid w:val="00454575"/>
    <w:rsid w:val="00457989"/>
    <w:rsid w:val="00464120"/>
    <w:rsid w:val="00466B2D"/>
    <w:rsid w:val="0046777F"/>
    <w:rsid w:val="00470B59"/>
    <w:rsid w:val="004714E3"/>
    <w:rsid w:val="00481105"/>
    <w:rsid w:val="004817E5"/>
    <w:rsid w:val="00481E4B"/>
    <w:rsid w:val="004821A4"/>
    <w:rsid w:val="00483B7E"/>
    <w:rsid w:val="00483C9D"/>
    <w:rsid w:val="00483F31"/>
    <w:rsid w:val="00484F64"/>
    <w:rsid w:val="004859F0"/>
    <w:rsid w:val="00485CCF"/>
    <w:rsid w:val="00487935"/>
    <w:rsid w:val="00490B47"/>
    <w:rsid w:val="00497ADD"/>
    <w:rsid w:val="004A2558"/>
    <w:rsid w:val="004A3FDE"/>
    <w:rsid w:val="004B05B9"/>
    <w:rsid w:val="004B069E"/>
    <w:rsid w:val="004B2749"/>
    <w:rsid w:val="004B2E3E"/>
    <w:rsid w:val="004B38CA"/>
    <w:rsid w:val="004B7B42"/>
    <w:rsid w:val="004C050B"/>
    <w:rsid w:val="004C3B98"/>
    <w:rsid w:val="004D440D"/>
    <w:rsid w:val="004E1889"/>
    <w:rsid w:val="004E1946"/>
    <w:rsid w:val="004E2396"/>
    <w:rsid w:val="004E5148"/>
    <w:rsid w:val="004E5B0B"/>
    <w:rsid w:val="004F12FF"/>
    <w:rsid w:val="004F37D6"/>
    <w:rsid w:val="004F57BE"/>
    <w:rsid w:val="00502BAC"/>
    <w:rsid w:val="00505D9F"/>
    <w:rsid w:val="005069EF"/>
    <w:rsid w:val="00506B4D"/>
    <w:rsid w:val="0051330D"/>
    <w:rsid w:val="0051474A"/>
    <w:rsid w:val="00514F3A"/>
    <w:rsid w:val="00515500"/>
    <w:rsid w:val="0052250F"/>
    <w:rsid w:val="005253D4"/>
    <w:rsid w:val="00540290"/>
    <w:rsid w:val="00542B27"/>
    <w:rsid w:val="0054440D"/>
    <w:rsid w:val="00544B29"/>
    <w:rsid w:val="00545B38"/>
    <w:rsid w:val="00554744"/>
    <w:rsid w:val="0055608B"/>
    <w:rsid w:val="00556956"/>
    <w:rsid w:val="00565449"/>
    <w:rsid w:val="00567FCE"/>
    <w:rsid w:val="00570665"/>
    <w:rsid w:val="00572E18"/>
    <w:rsid w:val="00572F83"/>
    <w:rsid w:val="00577307"/>
    <w:rsid w:val="005812BE"/>
    <w:rsid w:val="005838B3"/>
    <w:rsid w:val="00584023"/>
    <w:rsid w:val="00584159"/>
    <w:rsid w:val="0058453C"/>
    <w:rsid w:val="00584C03"/>
    <w:rsid w:val="00590D9F"/>
    <w:rsid w:val="00592BE0"/>
    <w:rsid w:val="00597B9A"/>
    <w:rsid w:val="005A2C71"/>
    <w:rsid w:val="005A4E7E"/>
    <w:rsid w:val="005A62FE"/>
    <w:rsid w:val="005A6CF6"/>
    <w:rsid w:val="005A7738"/>
    <w:rsid w:val="005B2A4E"/>
    <w:rsid w:val="005B34E5"/>
    <w:rsid w:val="005B372B"/>
    <w:rsid w:val="005B4A0D"/>
    <w:rsid w:val="005B5439"/>
    <w:rsid w:val="005B694F"/>
    <w:rsid w:val="005B6DB0"/>
    <w:rsid w:val="005C055C"/>
    <w:rsid w:val="005C2400"/>
    <w:rsid w:val="005C40F9"/>
    <w:rsid w:val="005D1423"/>
    <w:rsid w:val="005D148D"/>
    <w:rsid w:val="005D6A18"/>
    <w:rsid w:val="005E3426"/>
    <w:rsid w:val="005E4F72"/>
    <w:rsid w:val="005E5D5D"/>
    <w:rsid w:val="005E66E7"/>
    <w:rsid w:val="005F7511"/>
    <w:rsid w:val="0060014E"/>
    <w:rsid w:val="00602CB5"/>
    <w:rsid w:val="00602F3C"/>
    <w:rsid w:val="006161C9"/>
    <w:rsid w:val="0061684E"/>
    <w:rsid w:val="00622BA8"/>
    <w:rsid w:val="00624C21"/>
    <w:rsid w:val="0062577B"/>
    <w:rsid w:val="00625937"/>
    <w:rsid w:val="00627F29"/>
    <w:rsid w:val="006308CF"/>
    <w:rsid w:val="00635683"/>
    <w:rsid w:val="00636566"/>
    <w:rsid w:val="006405CA"/>
    <w:rsid w:val="006436E8"/>
    <w:rsid w:val="00650954"/>
    <w:rsid w:val="00652696"/>
    <w:rsid w:val="00652BBE"/>
    <w:rsid w:val="0065398C"/>
    <w:rsid w:val="00655910"/>
    <w:rsid w:val="00655CF1"/>
    <w:rsid w:val="00660EEB"/>
    <w:rsid w:val="00661DCA"/>
    <w:rsid w:val="00663E5F"/>
    <w:rsid w:val="00663E83"/>
    <w:rsid w:val="006652DA"/>
    <w:rsid w:val="00666569"/>
    <w:rsid w:val="00670926"/>
    <w:rsid w:val="00673A06"/>
    <w:rsid w:val="00683CDE"/>
    <w:rsid w:val="00684005"/>
    <w:rsid w:val="006848DB"/>
    <w:rsid w:val="006A459C"/>
    <w:rsid w:val="006A7BE6"/>
    <w:rsid w:val="006B51AF"/>
    <w:rsid w:val="006C0A8A"/>
    <w:rsid w:val="006C132E"/>
    <w:rsid w:val="006C23EC"/>
    <w:rsid w:val="006C5089"/>
    <w:rsid w:val="006C6B24"/>
    <w:rsid w:val="006D2C9E"/>
    <w:rsid w:val="006D59B8"/>
    <w:rsid w:val="006E569E"/>
    <w:rsid w:val="006F3877"/>
    <w:rsid w:val="006F548A"/>
    <w:rsid w:val="006F71A7"/>
    <w:rsid w:val="00700DC6"/>
    <w:rsid w:val="00703BD0"/>
    <w:rsid w:val="00704A98"/>
    <w:rsid w:val="00712930"/>
    <w:rsid w:val="00713567"/>
    <w:rsid w:val="0071565D"/>
    <w:rsid w:val="00717893"/>
    <w:rsid w:val="00720895"/>
    <w:rsid w:val="00722B5F"/>
    <w:rsid w:val="00723580"/>
    <w:rsid w:val="00723B6E"/>
    <w:rsid w:val="00725D32"/>
    <w:rsid w:val="00727362"/>
    <w:rsid w:val="007312A4"/>
    <w:rsid w:val="007323CF"/>
    <w:rsid w:val="00733D19"/>
    <w:rsid w:val="007429A4"/>
    <w:rsid w:val="007450A4"/>
    <w:rsid w:val="00761234"/>
    <w:rsid w:val="00762B93"/>
    <w:rsid w:val="00770FCE"/>
    <w:rsid w:val="007809EC"/>
    <w:rsid w:val="00781C3C"/>
    <w:rsid w:val="00783A7A"/>
    <w:rsid w:val="007846C9"/>
    <w:rsid w:val="00793281"/>
    <w:rsid w:val="00793889"/>
    <w:rsid w:val="00795330"/>
    <w:rsid w:val="00795B3E"/>
    <w:rsid w:val="007A2920"/>
    <w:rsid w:val="007A4C74"/>
    <w:rsid w:val="007A51B2"/>
    <w:rsid w:val="007A6338"/>
    <w:rsid w:val="007B314D"/>
    <w:rsid w:val="007B7649"/>
    <w:rsid w:val="007C0475"/>
    <w:rsid w:val="007C50A6"/>
    <w:rsid w:val="007C6304"/>
    <w:rsid w:val="007C7901"/>
    <w:rsid w:val="007D36D2"/>
    <w:rsid w:val="007D5ACD"/>
    <w:rsid w:val="007D70B9"/>
    <w:rsid w:val="007D7E02"/>
    <w:rsid w:val="007E0595"/>
    <w:rsid w:val="007E1D4E"/>
    <w:rsid w:val="007E30B7"/>
    <w:rsid w:val="007E3586"/>
    <w:rsid w:val="007F0205"/>
    <w:rsid w:val="007F086B"/>
    <w:rsid w:val="007F53C3"/>
    <w:rsid w:val="007F5A1C"/>
    <w:rsid w:val="00800FB0"/>
    <w:rsid w:val="00801FD5"/>
    <w:rsid w:val="0080389F"/>
    <w:rsid w:val="008040D8"/>
    <w:rsid w:val="00805DD0"/>
    <w:rsid w:val="00812E2E"/>
    <w:rsid w:val="00815AB7"/>
    <w:rsid w:val="00817B83"/>
    <w:rsid w:val="00822400"/>
    <w:rsid w:val="00823EF3"/>
    <w:rsid w:val="00831190"/>
    <w:rsid w:val="008320C0"/>
    <w:rsid w:val="00832D45"/>
    <w:rsid w:val="008330C2"/>
    <w:rsid w:val="00844FAC"/>
    <w:rsid w:val="00845463"/>
    <w:rsid w:val="00847D83"/>
    <w:rsid w:val="00853501"/>
    <w:rsid w:val="00854818"/>
    <w:rsid w:val="0085521D"/>
    <w:rsid w:val="00855368"/>
    <w:rsid w:val="00855D35"/>
    <w:rsid w:val="008675E2"/>
    <w:rsid w:val="00871269"/>
    <w:rsid w:val="00871C91"/>
    <w:rsid w:val="00874C5F"/>
    <w:rsid w:val="008768B4"/>
    <w:rsid w:val="008800A9"/>
    <w:rsid w:val="00881994"/>
    <w:rsid w:val="00881AFD"/>
    <w:rsid w:val="0088220A"/>
    <w:rsid w:val="00883D87"/>
    <w:rsid w:val="0088763C"/>
    <w:rsid w:val="008B11A7"/>
    <w:rsid w:val="008B2A97"/>
    <w:rsid w:val="008B500A"/>
    <w:rsid w:val="008B5384"/>
    <w:rsid w:val="008B59E2"/>
    <w:rsid w:val="008B7D4A"/>
    <w:rsid w:val="008C06B8"/>
    <w:rsid w:val="008D2335"/>
    <w:rsid w:val="008E1B9B"/>
    <w:rsid w:val="008E5F15"/>
    <w:rsid w:val="008E6028"/>
    <w:rsid w:val="008F12D3"/>
    <w:rsid w:val="008F57D9"/>
    <w:rsid w:val="009001B1"/>
    <w:rsid w:val="009034A7"/>
    <w:rsid w:val="0090496B"/>
    <w:rsid w:val="00904F67"/>
    <w:rsid w:val="0090638C"/>
    <w:rsid w:val="00907B5C"/>
    <w:rsid w:val="009230EE"/>
    <w:rsid w:val="00927F33"/>
    <w:rsid w:val="00932E87"/>
    <w:rsid w:val="009343F5"/>
    <w:rsid w:val="009429B4"/>
    <w:rsid w:val="0094397B"/>
    <w:rsid w:val="00945938"/>
    <w:rsid w:val="0094612B"/>
    <w:rsid w:val="0094707D"/>
    <w:rsid w:val="009500EF"/>
    <w:rsid w:val="009545FE"/>
    <w:rsid w:val="00954725"/>
    <w:rsid w:val="0095577E"/>
    <w:rsid w:val="0095660A"/>
    <w:rsid w:val="0096035E"/>
    <w:rsid w:val="00962F40"/>
    <w:rsid w:val="00970978"/>
    <w:rsid w:val="00983292"/>
    <w:rsid w:val="00984718"/>
    <w:rsid w:val="00984F2B"/>
    <w:rsid w:val="0098536D"/>
    <w:rsid w:val="00987301"/>
    <w:rsid w:val="00991968"/>
    <w:rsid w:val="009A410E"/>
    <w:rsid w:val="009A6935"/>
    <w:rsid w:val="009A79AF"/>
    <w:rsid w:val="009A7F82"/>
    <w:rsid w:val="009B0679"/>
    <w:rsid w:val="009B16AC"/>
    <w:rsid w:val="009B37B0"/>
    <w:rsid w:val="009B5814"/>
    <w:rsid w:val="009B73E2"/>
    <w:rsid w:val="009B799A"/>
    <w:rsid w:val="009C1CE6"/>
    <w:rsid w:val="009D01CC"/>
    <w:rsid w:val="009D184A"/>
    <w:rsid w:val="009D1C80"/>
    <w:rsid w:val="009D35C6"/>
    <w:rsid w:val="009D75F0"/>
    <w:rsid w:val="009D779C"/>
    <w:rsid w:val="009E1E22"/>
    <w:rsid w:val="009E567E"/>
    <w:rsid w:val="009E7680"/>
    <w:rsid w:val="009F1119"/>
    <w:rsid w:val="009F1AF7"/>
    <w:rsid w:val="009F3659"/>
    <w:rsid w:val="009F38B1"/>
    <w:rsid w:val="009F5C6F"/>
    <w:rsid w:val="009F6B4D"/>
    <w:rsid w:val="00A033EA"/>
    <w:rsid w:val="00A05685"/>
    <w:rsid w:val="00A06E82"/>
    <w:rsid w:val="00A12C4A"/>
    <w:rsid w:val="00A12DFE"/>
    <w:rsid w:val="00A13119"/>
    <w:rsid w:val="00A157B8"/>
    <w:rsid w:val="00A15872"/>
    <w:rsid w:val="00A15B3D"/>
    <w:rsid w:val="00A208A3"/>
    <w:rsid w:val="00A22065"/>
    <w:rsid w:val="00A220CE"/>
    <w:rsid w:val="00A22C1C"/>
    <w:rsid w:val="00A22DAB"/>
    <w:rsid w:val="00A23109"/>
    <w:rsid w:val="00A2335E"/>
    <w:rsid w:val="00A25813"/>
    <w:rsid w:val="00A27CF7"/>
    <w:rsid w:val="00A34BA7"/>
    <w:rsid w:val="00A352EE"/>
    <w:rsid w:val="00A42BC1"/>
    <w:rsid w:val="00A436DB"/>
    <w:rsid w:val="00A46EF2"/>
    <w:rsid w:val="00A5212C"/>
    <w:rsid w:val="00A554FC"/>
    <w:rsid w:val="00A57359"/>
    <w:rsid w:val="00A61FF2"/>
    <w:rsid w:val="00A67001"/>
    <w:rsid w:val="00A70D37"/>
    <w:rsid w:val="00A7438C"/>
    <w:rsid w:val="00A76244"/>
    <w:rsid w:val="00A80EA1"/>
    <w:rsid w:val="00A81AFF"/>
    <w:rsid w:val="00A85A4D"/>
    <w:rsid w:val="00A879FA"/>
    <w:rsid w:val="00A90337"/>
    <w:rsid w:val="00A945B5"/>
    <w:rsid w:val="00A949F5"/>
    <w:rsid w:val="00AA3063"/>
    <w:rsid w:val="00AA4077"/>
    <w:rsid w:val="00AB0374"/>
    <w:rsid w:val="00AB0C16"/>
    <w:rsid w:val="00AB0EC8"/>
    <w:rsid w:val="00AB1F86"/>
    <w:rsid w:val="00AC746D"/>
    <w:rsid w:val="00AD2F0B"/>
    <w:rsid w:val="00AE3131"/>
    <w:rsid w:val="00AE3F0B"/>
    <w:rsid w:val="00AE65F0"/>
    <w:rsid w:val="00B008C7"/>
    <w:rsid w:val="00B017D6"/>
    <w:rsid w:val="00B019E8"/>
    <w:rsid w:val="00B03BAA"/>
    <w:rsid w:val="00B06D18"/>
    <w:rsid w:val="00B06F02"/>
    <w:rsid w:val="00B12C2F"/>
    <w:rsid w:val="00B16BCA"/>
    <w:rsid w:val="00B36FD6"/>
    <w:rsid w:val="00B37AD6"/>
    <w:rsid w:val="00B400C7"/>
    <w:rsid w:val="00B40849"/>
    <w:rsid w:val="00B40D41"/>
    <w:rsid w:val="00B415A3"/>
    <w:rsid w:val="00B458AB"/>
    <w:rsid w:val="00B511B6"/>
    <w:rsid w:val="00B5491E"/>
    <w:rsid w:val="00B56517"/>
    <w:rsid w:val="00B56D10"/>
    <w:rsid w:val="00B6033D"/>
    <w:rsid w:val="00B61920"/>
    <w:rsid w:val="00B62417"/>
    <w:rsid w:val="00B63321"/>
    <w:rsid w:val="00B64ADA"/>
    <w:rsid w:val="00B71168"/>
    <w:rsid w:val="00B7452B"/>
    <w:rsid w:val="00B75C5D"/>
    <w:rsid w:val="00B76ABF"/>
    <w:rsid w:val="00B76CE2"/>
    <w:rsid w:val="00B8027E"/>
    <w:rsid w:val="00B8376B"/>
    <w:rsid w:val="00B916E5"/>
    <w:rsid w:val="00B91A59"/>
    <w:rsid w:val="00BA43F8"/>
    <w:rsid w:val="00BA4579"/>
    <w:rsid w:val="00BA61AD"/>
    <w:rsid w:val="00BB498B"/>
    <w:rsid w:val="00BB4EFF"/>
    <w:rsid w:val="00BC1798"/>
    <w:rsid w:val="00BC37BA"/>
    <w:rsid w:val="00BD6374"/>
    <w:rsid w:val="00BD69A9"/>
    <w:rsid w:val="00BE100A"/>
    <w:rsid w:val="00BE1C97"/>
    <w:rsid w:val="00BE2A9F"/>
    <w:rsid w:val="00BE5EDC"/>
    <w:rsid w:val="00BE64CC"/>
    <w:rsid w:val="00BE65BD"/>
    <w:rsid w:val="00BE7690"/>
    <w:rsid w:val="00BF4068"/>
    <w:rsid w:val="00BF71F1"/>
    <w:rsid w:val="00C04AD5"/>
    <w:rsid w:val="00C112F1"/>
    <w:rsid w:val="00C1244B"/>
    <w:rsid w:val="00C12EF9"/>
    <w:rsid w:val="00C13720"/>
    <w:rsid w:val="00C1387D"/>
    <w:rsid w:val="00C316F2"/>
    <w:rsid w:val="00C340E5"/>
    <w:rsid w:val="00C3551D"/>
    <w:rsid w:val="00C364A0"/>
    <w:rsid w:val="00C3736D"/>
    <w:rsid w:val="00C43C9A"/>
    <w:rsid w:val="00C465A5"/>
    <w:rsid w:val="00C5212D"/>
    <w:rsid w:val="00C531DC"/>
    <w:rsid w:val="00C548A8"/>
    <w:rsid w:val="00C55065"/>
    <w:rsid w:val="00C554C8"/>
    <w:rsid w:val="00C656F5"/>
    <w:rsid w:val="00C6668B"/>
    <w:rsid w:val="00C80CCB"/>
    <w:rsid w:val="00C81092"/>
    <w:rsid w:val="00C812DA"/>
    <w:rsid w:val="00C84A3D"/>
    <w:rsid w:val="00C85411"/>
    <w:rsid w:val="00C857BC"/>
    <w:rsid w:val="00C97031"/>
    <w:rsid w:val="00C97688"/>
    <w:rsid w:val="00CA0032"/>
    <w:rsid w:val="00CA0AB5"/>
    <w:rsid w:val="00CA4C70"/>
    <w:rsid w:val="00CB17ED"/>
    <w:rsid w:val="00CB1B9D"/>
    <w:rsid w:val="00CB5201"/>
    <w:rsid w:val="00CC61B7"/>
    <w:rsid w:val="00CC7C7B"/>
    <w:rsid w:val="00CD676C"/>
    <w:rsid w:val="00CE03E6"/>
    <w:rsid w:val="00CE3DC6"/>
    <w:rsid w:val="00CE4B4D"/>
    <w:rsid w:val="00CE6C7A"/>
    <w:rsid w:val="00CE76BD"/>
    <w:rsid w:val="00CF08AC"/>
    <w:rsid w:val="00CF2E97"/>
    <w:rsid w:val="00CF320C"/>
    <w:rsid w:val="00CF4729"/>
    <w:rsid w:val="00CF79DA"/>
    <w:rsid w:val="00D00A13"/>
    <w:rsid w:val="00D03F14"/>
    <w:rsid w:val="00D04802"/>
    <w:rsid w:val="00D166ED"/>
    <w:rsid w:val="00D2690C"/>
    <w:rsid w:val="00D30F55"/>
    <w:rsid w:val="00D34DFA"/>
    <w:rsid w:val="00D47527"/>
    <w:rsid w:val="00D55448"/>
    <w:rsid w:val="00D64ED5"/>
    <w:rsid w:val="00D708C3"/>
    <w:rsid w:val="00D7239E"/>
    <w:rsid w:val="00D72EAB"/>
    <w:rsid w:val="00D807E0"/>
    <w:rsid w:val="00D81162"/>
    <w:rsid w:val="00D83AC7"/>
    <w:rsid w:val="00D84ED1"/>
    <w:rsid w:val="00D86F98"/>
    <w:rsid w:val="00D87C5F"/>
    <w:rsid w:val="00D92C59"/>
    <w:rsid w:val="00D932C3"/>
    <w:rsid w:val="00D94196"/>
    <w:rsid w:val="00D967A5"/>
    <w:rsid w:val="00DA0549"/>
    <w:rsid w:val="00DA5B68"/>
    <w:rsid w:val="00DA5F18"/>
    <w:rsid w:val="00DB3C73"/>
    <w:rsid w:val="00DB7731"/>
    <w:rsid w:val="00DB7F90"/>
    <w:rsid w:val="00DC295D"/>
    <w:rsid w:val="00DD17AB"/>
    <w:rsid w:val="00DD27F6"/>
    <w:rsid w:val="00DD6FF4"/>
    <w:rsid w:val="00DD7E66"/>
    <w:rsid w:val="00DE22E4"/>
    <w:rsid w:val="00DE60B5"/>
    <w:rsid w:val="00DF5FD7"/>
    <w:rsid w:val="00E04BE0"/>
    <w:rsid w:val="00E1030E"/>
    <w:rsid w:val="00E11143"/>
    <w:rsid w:val="00E12817"/>
    <w:rsid w:val="00E12BEF"/>
    <w:rsid w:val="00E13135"/>
    <w:rsid w:val="00E13319"/>
    <w:rsid w:val="00E16E1F"/>
    <w:rsid w:val="00E20331"/>
    <w:rsid w:val="00E20C16"/>
    <w:rsid w:val="00E245AE"/>
    <w:rsid w:val="00E303CF"/>
    <w:rsid w:val="00E326C3"/>
    <w:rsid w:val="00E326E2"/>
    <w:rsid w:val="00E370A7"/>
    <w:rsid w:val="00E40F5C"/>
    <w:rsid w:val="00E41909"/>
    <w:rsid w:val="00E41ECE"/>
    <w:rsid w:val="00E44002"/>
    <w:rsid w:val="00E446BA"/>
    <w:rsid w:val="00E515AC"/>
    <w:rsid w:val="00E56B60"/>
    <w:rsid w:val="00E62C3C"/>
    <w:rsid w:val="00E63171"/>
    <w:rsid w:val="00E633A0"/>
    <w:rsid w:val="00E646C3"/>
    <w:rsid w:val="00E70104"/>
    <w:rsid w:val="00E7051A"/>
    <w:rsid w:val="00E7064B"/>
    <w:rsid w:val="00E82D7A"/>
    <w:rsid w:val="00E835DC"/>
    <w:rsid w:val="00E853F4"/>
    <w:rsid w:val="00E8550F"/>
    <w:rsid w:val="00E85D41"/>
    <w:rsid w:val="00E86A2B"/>
    <w:rsid w:val="00E907B9"/>
    <w:rsid w:val="00E97DFD"/>
    <w:rsid w:val="00EA1A16"/>
    <w:rsid w:val="00EA2A35"/>
    <w:rsid w:val="00EA620C"/>
    <w:rsid w:val="00EA654C"/>
    <w:rsid w:val="00EA6F61"/>
    <w:rsid w:val="00EB1485"/>
    <w:rsid w:val="00EB4B1C"/>
    <w:rsid w:val="00EB6DBE"/>
    <w:rsid w:val="00EC5283"/>
    <w:rsid w:val="00ED00F3"/>
    <w:rsid w:val="00EE165C"/>
    <w:rsid w:val="00EE75B9"/>
    <w:rsid w:val="00EF0476"/>
    <w:rsid w:val="00EF04BB"/>
    <w:rsid w:val="00EF3F41"/>
    <w:rsid w:val="00F003CB"/>
    <w:rsid w:val="00F02485"/>
    <w:rsid w:val="00F104B8"/>
    <w:rsid w:val="00F12493"/>
    <w:rsid w:val="00F15247"/>
    <w:rsid w:val="00F178F0"/>
    <w:rsid w:val="00F239AA"/>
    <w:rsid w:val="00F25EDC"/>
    <w:rsid w:val="00F271BE"/>
    <w:rsid w:val="00F329C7"/>
    <w:rsid w:val="00F36AFC"/>
    <w:rsid w:val="00F449ED"/>
    <w:rsid w:val="00F44E51"/>
    <w:rsid w:val="00F46896"/>
    <w:rsid w:val="00F51E36"/>
    <w:rsid w:val="00F5213F"/>
    <w:rsid w:val="00F613D1"/>
    <w:rsid w:val="00F65BF0"/>
    <w:rsid w:val="00F661B8"/>
    <w:rsid w:val="00F670DD"/>
    <w:rsid w:val="00F70D6C"/>
    <w:rsid w:val="00F711B5"/>
    <w:rsid w:val="00F71CE6"/>
    <w:rsid w:val="00F71EF4"/>
    <w:rsid w:val="00F72E43"/>
    <w:rsid w:val="00F82285"/>
    <w:rsid w:val="00F8467D"/>
    <w:rsid w:val="00F9405B"/>
    <w:rsid w:val="00F94EAE"/>
    <w:rsid w:val="00F950DB"/>
    <w:rsid w:val="00FA07CE"/>
    <w:rsid w:val="00FA139A"/>
    <w:rsid w:val="00FA440A"/>
    <w:rsid w:val="00FA7C2A"/>
    <w:rsid w:val="00FC1124"/>
    <w:rsid w:val="00FC385B"/>
    <w:rsid w:val="00FC49CA"/>
    <w:rsid w:val="00FC7274"/>
    <w:rsid w:val="00FD2C80"/>
    <w:rsid w:val="00FD53D1"/>
    <w:rsid w:val="00FD56CB"/>
    <w:rsid w:val="00FD7370"/>
    <w:rsid w:val="00FE11CD"/>
    <w:rsid w:val="00FE790E"/>
    <w:rsid w:val="00FF0207"/>
    <w:rsid w:val="00FF2408"/>
    <w:rsid w:val="00FF57FA"/>
    <w:rsid w:val="00FF5853"/>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F4FAAB8-E89B-444E-A8FC-BED80138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30"/>
    <w:rPr>
      <w:rFonts w:ascii="Century Schoolbook" w:hAnsi="Century Schoolbook"/>
      <w:sz w:val="22"/>
      <w:szCs w:val="24"/>
    </w:rPr>
  </w:style>
  <w:style w:type="paragraph" w:styleId="Heading1">
    <w:name w:val="heading 1"/>
    <w:basedOn w:val="Normal"/>
    <w:next w:val="Normal"/>
    <w:link w:val="Heading1Char"/>
    <w:uiPriority w:val="99"/>
    <w:qFormat/>
    <w:rsid w:val="00F239AA"/>
    <w:pPr>
      <w:keepNext/>
      <w:spacing w:before="40"/>
      <w:jc w:val="right"/>
      <w:outlineLvl w:val="0"/>
    </w:pPr>
    <w:rPr>
      <w:b/>
      <w:color w:val="000000"/>
      <w:sz w:val="16"/>
      <w:szCs w:val="20"/>
    </w:rPr>
  </w:style>
  <w:style w:type="paragraph" w:styleId="Heading2">
    <w:name w:val="heading 2"/>
    <w:basedOn w:val="Normal"/>
    <w:next w:val="Normal"/>
    <w:link w:val="Heading2Char"/>
    <w:uiPriority w:val="99"/>
    <w:qFormat/>
    <w:rsid w:val="00F239AA"/>
    <w:pPr>
      <w:keepNext/>
      <w:jc w:val="center"/>
      <w:outlineLvl w:val="1"/>
    </w:pPr>
    <w:rPr>
      <w:b/>
      <w:color w:val="000000"/>
      <w:szCs w:val="20"/>
    </w:rPr>
  </w:style>
  <w:style w:type="paragraph" w:styleId="Heading4">
    <w:name w:val="heading 4"/>
    <w:basedOn w:val="Normal"/>
    <w:next w:val="Normal"/>
    <w:link w:val="Heading4Char"/>
    <w:uiPriority w:val="9"/>
    <w:semiHidden/>
    <w:unhideWhenUsed/>
    <w:qFormat/>
    <w:rsid w:val="00216C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4Char">
    <w:name w:val="Heading 4 Char"/>
    <w:link w:val="Heading4"/>
    <w:uiPriority w:val="9"/>
    <w:semiHidden/>
    <w:locked/>
    <w:rsid w:val="00216CE9"/>
    <w:rPr>
      <w:rFonts w:ascii="Calibri" w:eastAsia="Times New Roman" w:hAnsi="Calibri" w:cs="Times New Roman"/>
      <w:b/>
      <w:bCs/>
      <w:sz w:val="28"/>
      <w:szCs w:val="28"/>
    </w:rPr>
  </w:style>
  <w:style w:type="paragraph" w:styleId="Header">
    <w:name w:val="header"/>
    <w:basedOn w:val="Normal"/>
    <w:link w:val="HeaderChar"/>
    <w:uiPriority w:val="99"/>
    <w:rsid w:val="00F239AA"/>
    <w:pPr>
      <w:tabs>
        <w:tab w:val="center" w:pos="4320"/>
        <w:tab w:val="right" w:pos="8640"/>
      </w:tabs>
    </w:pPr>
  </w:style>
  <w:style w:type="character" w:customStyle="1" w:styleId="HeaderChar">
    <w:name w:val="Header Char"/>
    <w:link w:val="Header"/>
    <w:uiPriority w:val="99"/>
    <w:locked/>
    <w:rPr>
      <w:rFonts w:ascii="Century Schoolbook" w:hAnsi="Century Schoolbook" w:cs="Times New Roman"/>
      <w:sz w:val="24"/>
      <w:szCs w:val="24"/>
    </w:rPr>
  </w:style>
  <w:style w:type="paragraph" w:styleId="Footer">
    <w:name w:val="footer"/>
    <w:basedOn w:val="Normal"/>
    <w:link w:val="FooterChar"/>
    <w:uiPriority w:val="99"/>
    <w:rsid w:val="00F239AA"/>
    <w:pPr>
      <w:tabs>
        <w:tab w:val="center" w:pos="4320"/>
        <w:tab w:val="right" w:pos="8640"/>
      </w:tabs>
    </w:pPr>
  </w:style>
  <w:style w:type="character" w:customStyle="1" w:styleId="FooterChar">
    <w:name w:val="Footer Char"/>
    <w:link w:val="Footer"/>
    <w:uiPriority w:val="99"/>
    <w:semiHidden/>
    <w:locked/>
    <w:rPr>
      <w:rFonts w:ascii="Century Schoolbook" w:hAnsi="Century Schoolbook" w:cs="Times New Roman"/>
      <w:sz w:val="24"/>
      <w:szCs w:val="24"/>
    </w:rPr>
  </w:style>
  <w:style w:type="paragraph" w:customStyle="1" w:styleId="Heading1i">
    <w:name w:val="Heading1i"/>
    <w:uiPriority w:val="99"/>
    <w:rsid w:val="00673A06"/>
    <w:pPr>
      <w:jc w:val="center"/>
    </w:pPr>
    <w:rPr>
      <w:b/>
      <w:sz w:val="22"/>
      <w:szCs w:val="24"/>
    </w:rPr>
  </w:style>
  <w:style w:type="paragraph" w:customStyle="1" w:styleId="Header2i">
    <w:name w:val="Header2i"/>
    <w:uiPriority w:val="99"/>
    <w:rsid w:val="00C43C9A"/>
    <w:pPr>
      <w:jc w:val="center"/>
    </w:pPr>
    <w:rPr>
      <w:b/>
      <w:sz w:val="24"/>
      <w:szCs w:val="24"/>
    </w:rPr>
  </w:style>
  <w:style w:type="paragraph" w:customStyle="1" w:styleId="Header3i">
    <w:name w:val="Header3i"/>
    <w:uiPriority w:val="99"/>
    <w:rsid w:val="006C5089"/>
    <w:pPr>
      <w:tabs>
        <w:tab w:val="left" w:pos="4680"/>
        <w:tab w:val="left" w:pos="7632"/>
      </w:tabs>
      <w:spacing w:before="40"/>
    </w:pPr>
    <w:rPr>
      <w:b/>
      <w:color w:val="000000"/>
      <w:sz w:val="16"/>
    </w:rPr>
  </w:style>
  <w:style w:type="paragraph" w:customStyle="1" w:styleId="Header3ai">
    <w:name w:val="Header3ai"/>
    <w:uiPriority w:val="99"/>
    <w:rsid w:val="006C5089"/>
    <w:pPr>
      <w:tabs>
        <w:tab w:val="left" w:pos="3456"/>
        <w:tab w:val="left" w:pos="8309"/>
      </w:tabs>
      <w:spacing w:before="40"/>
    </w:pPr>
    <w:rPr>
      <w:b/>
      <w:color w:val="000000"/>
      <w:sz w:val="16"/>
    </w:rPr>
  </w:style>
  <w:style w:type="paragraph" w:customStyle="1" w:styleId="Heading4i">
    <w:name w:val="Heading4i"/>
    <w:uiPriority w:val="99"/>
    <w:rsid w:val="00673A06"/>
    <w:pPr>
      <w:jc w:val="center"/>
    </w:pPr>
    <w:rPr>
      <w:b/>
      <w:sz w:val="16"/>
      <w:szCs w:val="24"/>
    </w:rPr>
  </w:style>
  <w:style w:type="paragraph" w:styleId="BalloonText">
    <w:name w:val="Balloon Text"/>
    <w:basedOn w:val="Normal"/>
    <w:link w:val="BalloonTextChar"/>
    <w:uiPriority w:val="99"/>
    <w:semiHidden/>
    <w:unhideWhenUsed/>
    <w:rsid w:val="001F30EB"/>
    <w:rPr>
      <w:rFonts w:ascii="Tahoma" w:hAnsi="Tahoma" w:cs="Tahoma"/>
      <w:sz w:val="16"/>
      <w:szCs w:val="16"/>
    </w:rPr>
  </w:style>
  <w:style w:type="character" w:customStyle="1" w:styleId="BalloonTextChar">
    <w:name w:val="Balloon Text Char"/>
    <w:link w:val="BalloonText"/>
    <w:uiPriority w:val="99"/>
    <w:semiHidden/>
    <w:rsid w:val="001F30EB"/>
    <w:rPr>
      <w:rFonts w:ascii="Tahoma" w:hAnsi="Tahoma" w:cs="Tahoma"/>
      <w:sz w:val="16"/>
      <w:szCs w:val="16"/>
    </w:rPr>
  </w:style>
  <w:style w:type="character" w:styleId="CommentReference">
    <w:name w:val="annotation reference"/>
    <w:uiPriority w:val="99"/>
    <w:semiHidden/>
    <w:unhideWhenUsed/>
    <w:rsid w:val="00AA3063"/>
    <w:rPr>
      <w:sz w:val="16"/>
      <w:szCs w:val="16"/>
    </w:rPr>
  </w:style>
  <w:style w:type="paragraph" w:styleId="CommentText">
    <w:name w:val="annotation text"/>
    <w:basedOn w:val="Normal"/>
    <w:link w:val="CommentTextChar"/>
    <w:uiPriority w:val="99"/>
    <w:semiHidden/>
    <w:unhideWhenUsed/>
    <w:rsid w:val="00AA3063"/>
    <w:rPr>
      <w:sz w:val="20"/>
      <w:szCs w:val="20"/>
    </w:rPr>
  </w:style>
  <w:style w:type="character" w:customStyle="1" w:styleId="CommentTextChar">
    <w:name w:val="Comment Text Char"/>
    <w:link w:val="CommentText"/>
    <w:uiPriority w:val="99"/>
    <w:semiHidden/>
    <w:rsid w:val="00AA3063"/>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AA3063"/>
    <w:rPr>
      <w:b/>
      <w:bCs/>
    </w:rPr>
  </w:style>
  <w:style w:type="character" w:customStyle="1" w:styleId="CommentSubjectChar">
    <w:name w:val="Comment Subject Char"/>
    <w:link w:val="CommentSubject"/>
    <w:uiPriority w:val="99"/>
    <w:semiHidden/>
    <w:rsid w:val="00AA3063"/>
    <w:rPr>
      <w:rFonts w:ascii="Century Schoolbook" w:hAnsi="Century Schoolbook"/>
      <w:b/>
      <w:bCs/>
    </w:rPr>
  </w:style>
  <w:style w:type="paragraph" w:styleId="ListParagraph">
    <w:name w:val="List Paragraph"/>
    <w:basedOn w:val="Normal"/>
    <w:uiPriority w:val="34"/>
    <w:qFormat/>
    <w:rsid w:val="00822400"/>
    <w:pPr>
      <w:ind w:left="720"/>
      <w:contextualSpacing/>
    </w:pPr>
  </w:style>
  <w:style w:type="paragraph" w:styleId="NormalWeb">
    <w:name w:val="Normal (Web)"/>
    <w:basedOn w:val="Normal"/>
    <w:uiPriority w:val="99"/>
    <w:semiHidden/>
    <w:unhideWhenUsed/>
    <w:rsid w:val="00A80EA1"/>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A80EA1"/>
    <w:rPr>
      <w:color w:val="0000FF"/>
      <w:u w:val="single"/>
    </w:rPr>
  </w:style>
  <w:style w:type="character" w:styleId="FollowedHyperlink">
    <w:name w:val="FollowedHyperlink"/>
    <w:basedOn w:val="DefaultParagraphFont"/>
    <w:uiPriority w:val="99"/>
    <w:semiHidden/>
    <w:unhideWhenUsed/>
    <w:rsid w:val="00A80EA1"/>
    <w:rPr>
      <w:color w:val="800080" w:themeColor="followedHyperlink"/>
      <w:u w:val="single"/>
    </w:rPr>
  </w:style>
  <w:style w:type="paragraph" w:styleId="NoSpacing">
    <w:name w:val="No Spacing"/>
    <w:uiPriority w:val="1"/>
    <w:qFormat/>
    <w:rsid w:val="00186A88"/>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8780">
      <w:bodyDiv w:val="1"/>
      <w:marLeft w:val="0"/>
      <w:marRight w:val="0"/>
      <w:marTop w:val="0"/>
      <w:marBottom w:val="0"/>
      <w:divBdr>
        <w:top w:val="none" w:sz="0" w:space="0" w:color="auto"/>
        <w:left w:val="none" w:sz="0" w:space="0" w:color="auto"/>
        <w:bottom w:val="none" w:sz="0" w:space="0" w:color="auto"/>
        <w:right w:val="none" w:sz="0" w:space="0" w:color="auto"/>
      </w:divBdr>
    </w:div>
    <w:div w:id="1694988977">
      <w:bodyDiv w:val="1"/>
      <w:marLeft w:val="0"/>
      <w:marRight w:val="0"/>
      <w:marTop w:val="0"/>
      <w:marBottom w:val="0"/>
      <w:divBdr>
        <w:top w:val="none" w:sz="0" w:space="0" w:color="auto"/>
        <w:left w:val="none" w:sz="0" w:space="0" w:color="auto"/>
        <w:bottom w:val="none" w:sz="0" w:space="0" w:color="auto"/>
        <w:right w:val="none" w:sz="0" w:space="0" w:color="auto"/>
      </w:divBdr>
    </w:div>
    <w:div w:id="1803427111">
      <w:marLeft w:val="0"/>
      <w:marRight w:val="0"/>
      <w:marTop w:val="0"/>
      <w:marBottom w:val="0"/>
      <w:divBdr>
        <w:top w:val="none" w:sz="0" w:space="0" w:color="auto"/>
        <w:left w:val="none" w:sz="0" w:space="0" w:color="auto"/>
        <w:bottom w:val="none" w:sz="0" w:space="0" w:color="auto"/>
        <w:right w:val="none" w:sz="0" w:space="0" w:color="auto"/>
      </w:divBdr>
      <w:divsChild>
        <w:div w:id="1803427108">
          <w:marLeft w:val="0"/>
          <w:marRight w:val="0"/>
          <w:marTop w:val="0"/>
          <w:marBottom w:val="0"/>
          <w:divBdr>
            <w:top w:val="none" w:sz="0" w:space="0" w:color="auto"/>
            <w:left w:val="none" w:sz="0" w:space="0" w:color="auto"/>
            <w:bottom w:val="none" w:sz="0" w:space="0" w:color="auto"/>
            <w:right w:val="none" w:sz="0" w:space="0" w:color="auto"/>
          </w:divBdr>
          <w:divsChild>
            <w:div w:id="18034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7114">
      <w:marLeft w:val="0"/>
      <w:marRight w:val="0"/>
      <w:marTop w:val="0"/>
      <w:marBottom w:val="0"/>
      <w:divBdr>
        <w:top w:val="none" w:sz="0" w:space="0" w:color="auto"/>
        <w:left w:val="none" w:sz="0" w:space="0" w:color="auto"/>
        <w:bottom w:val="none" w:sz="0" w:space="0" w:color="auto"/>
        <w:right w:val="none" w:sz="0" w:space="0" w:color="auto"/>
      </w:divBdr>
    </w:div>
    <w:div w:id="1803427115">
      <w:marLeft w:val="0"/>
      <w:marRight w:val="0"/>
      <w:marTop w:val="0"/>
      <w:marBottom w:val="0"/>
      <w:divBdr>
        <w:top w:val="none" w:sz="0" w:space="0" w:color="auto"/>
        <w:left w:val="none" w:sz="0" w:space="0" w:color="auto"/>
        <w:bottom w:val="none" w:sz="0" w:space="0" w:color="auto"/>
        <w:right w:val="none" w:sz="0" w:space="0" w:color="auto"/>
      </w:divBdr>
    </w:div>
    <w:div w:id="1803427116">
      <w:marLeft w:val="0"/>
      <w:marRight w:val="0"/>
      <w:marTop w:val="0"/>
      <w:marBottom w:val="0"/>
      <w:divBdr>
        <w:top w:val="none" w:sz="0" w:space="0" w:color="auto"/>
        <w:left w:val="none" w:sz="0" w:space="0" w:color="auto"/>
        <w:bottom w:val="none" w:sz="0" w:space="0" w:color="auto"/>
        <w:right w:val="none" w:sz="0" w:space="0" w:color="auto"/>
      </w:divBdr>
    </w:div>
    <w:div w:id="1803427117">
      <w:marLeft w:val="0"/>
      <w:marRight w:val="0"/>
      <w:marTop w:val="0"/>
      <w:marBottom w:val="0"/>
      <w:divBdr>
        <w:top w:val="none" w:sz="0" w:space="0" w:color="auto"/>
        <w:left w:val="none" w:sz="0" w:space="0" w:color="auto"/>
        <w:bottom w:val="none" w:sz="0" w:space="0" w:color="auto"/>
        <w:right w:val="none" w:sz="0" w:space="0" w:color="auto"/>
      </w:divBdr>
    </w:div>
    <w:div w:id="1803427119">
      <w:marLeft w:val="0"/>
      <w:marRight w:val="0"/>
      <w:marTop w:val="0"/>
      <w:marBottom w:val="0"/>
      <w:divBdr>
        <w:top w:val="none" w:sz="0" w:space="0" w:color="auto"/>
        <w:left w:val="none" w:sz="0" w:space="0" w:color="auto"/>
        <w:bottom w:val="none" w:sz="0" w:space="0" w:color="auto"/>
        <w:right w:val="none" w:sz="0" w:space="0" w:color="auto"/>
      </w:divBdr>
      <w:divsChild>
        <w:div w:id="1803427109">
          <w:marLeft w:val="0"/>
          <w:marRight w:val="0"/>
          <w:marTop w:val="0"/>
          <w:marBottom w:val="0"/>
          <w:divBdr>
            <w:top w:val="none" w:sz="0" w:space="0" w:color="auto"/>
            <w:left w:val="none" w:sz="0" w:space="0" w:color="auto"/>
            <w:bottom w:val="none" w:sz="0" w:space="0" w:color="auto"/>
            <w:right w:val="none" w:sz="0" w:space="0" w:color="auto"/>
          </w:divBdr>
          <w:divsChild>
            <w:div w:id="18034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7120">
      <w:marLeft w:val="0"/>
      <w:marRight w:val="0"/>
      <w:marTop w:val="0"/>
      <w:marBottom w:val="0"/>
      <w:divBdr>
        <w:top w:val="none" w:sz="0" w:space="0" w:color="auto"/>
        <w:left w:val="none" w:sz="0" w:space="0" w:color="auto"/>
        <w:bottom w:val="none" w:sz="0" w:space="0" w:color="auto"/>
        <w:right w:val="none" w:sz="0" w:space="0" w:color="auto"/>
      </w:divBdr>
      <w:divsChild>
        <w:div w:id="1803427112">
          <w:marLeft w:val="0"/>
          <w:marRight w:val="0"/>
          <w:marTop w:val="0"/>
          <w:marBottom w:val="0"/>
          <w:divBdr>
            <w:top w:val="none" w:sz="0" w:space="0" w:color="auto"/>
            <w:left w:val="none" w:sz="0" w:space="0" w:color="auto"/>
            <w:bottom w:val="none" w:sz="0" w:space="0" w:color="auto"/>
            <w:right w:val="none" w:sz="0" w:space="0" w:color="auto"/>
          </w:divBdr>
          <w:divsChild>
            <w:div w:id="18034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sb.org/jsp/GASB/Document_C/GASBDocumentPage?cid=1176167745133&amp;acceptedDisclaimer=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y.Collins@tn.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reports.treasury.tn.gov/Home/LEA" TargetMode="External"/><Relationship Id="rId5" Type="http://schemas.openxmlformats.org/officeDocument/2006/relationships/webSettings" Target="webSettings.xml"/><Relationship Id="rId15" Type="http://schemas.openxmlformats.org/officeDocument/2006/relationships/hyperlink" Target="mailto:Rachelle.Cabading@cot.tn.gov" TargetMode="External"/><Relationship Id="rId10" Type="http://schemas.openxmlformats.org/officeDocument/2006/relationships/hyperlink" Target="http://www.treasury.state.tn.us/tc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creports.treasury.tn.gov/" TargetMode="External"/><Relationship Id="rId14" Type="http://schemas.openxmlformats.org/officeDocument/2006/relationships/hyperlink" Target="mailto:Jerry.Durham@cot.tn.gov"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D7E2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E566AC-3FC4-4DD3-9152-859C4740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2583</TotalTime>
  <Pages>9</Pages>
  <Words>3916</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April 1, 2002</vt:lpstr>
    </vt:vector>
  </TitlesOfParts>
  <Company>State of Tennessee</Company>
  <LinksUpToDate>false</LinksUpToDate>
  <CharactersWithSpaces>26191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2002</dc:title>
  <dc:creator>Comptroller of the Treasury</dc:creator>
  <cp:lastModifiedBy>Jerry Durham</cp:lastModifiedBy>
  <cp:revision>244</cp:revision>
  <cp:lastPrinted>2016-09-22T13:46:00Z</cp:lastPrinted>
  <dcterms:created xsi:type="dcterms:W3CDTF">2015-06-09T15:37:00Z</dcterms:created>
  <dcterms:modified xsi:type="dcterms:W3CDTF">2016-09-23T17:47:00Z</dcterms:modified>
</cp:coreProperties>
</file>